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5F79CA2C"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5665"/>
        <w:gridCol w:w="3821"/>
      </w:tblGrid>
      <w:tr w:rsidR="00E66558" w14:paraId="2A7D54B7" w14:textId="77777777" w:rsidTr="00DD6DE2">
        <w:tc>
          <w:tcPr>
            <w:tcW w:w="566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382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DD6DE2">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52FF14FA" w:rsidR="00E66558" w:rsidRDefault="00C1176C">
            <w:pPr>
              <w:pStyle w:val="TableRow"/>
            </w:pPr>
            <w:r>
              <w:t xml:space="preserve">Wrockwardine Wood Church of England Junior School </w:t>
            </w:r>
          </w:p>
        </w:tc>
      </w:tr>
      <w:tr w:rsidR="00E66558" w14:paraId="2A7D54BD" w14:textId="77777777" w:rsidTr="00DD6DE2">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DF5E556" w:rsidR="00E66558" w:rsidRDefault="00C76E03">
            <w:pPr>
              <w:pStyle w:val="TableRow"/>
            </w:pPr>
            <w:r>
              <w:t>271</w:t>
            </w:r>
          </w:p>
        </w:tc>
      </w:tr>
      <w:tr w:rsidR="00E66558" w14:paraId="2A7D54C0" w14:textId="77777777" w:rsidTr="00DD6DE2">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4F8DDAE1" w:rsidR="00E66558" w:rsidRDefault="00366EAB">
            <w:pPr>
              <w:pStyle w:val="TableRow"/>
            </w:pPr>
            <w:r>
              <w:t>30.3% (82 children)</w:t>
            </w:r>
          </w:p>
        </w:tc>
      </w:tr>
      <w:tr w:rsidR="00E66558" w14:paraId="2A7D54C3" w14:textId="77777777" w:rsidTr="00DD6DE2">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075D5F35" w:rsidR="00E66558" w:rsidRDefault="00B56531">
            <w:pPr>
              <w:pStyle w:val="TableRow"/>
            </w:pPr>
            <w:r>
              <w:t>Years 3 – 6</w:t>
            </w:r>
          </w:p>
        </w:tc>
      </w:tr>
      <w:tr w:rsidR="00E66558" w14:paraId="2A7D54C6" w14:textId="77777777" w:rsidTr="00DD6DE2">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123DBAF0" w:rsidR="00E66558" w:rsidRDefault="00B56531">
            <w:pPr>
              <w:pStyle w:val="TableRow"/>
            </w:pPr>
            <w:r>
              <w:t>November 2021</w:t>
            </w:r>
          </w:p>
        </w:tc>
      </w:tr>
      <w:tr w:rsidR="00E66558" w14:paraId="2A7D54C9" w14:textId="77777777" w:rsidTr="00DD6DE2">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01B8D8AE" w:rsidR="00E66558" w:rsidRDefault="006515BF">
            <w:pPr>
              <w:pStyle w:val="TableRow"/>
            </w:pPr>
            <w:r>
              <w:t>October 2022</w:t>
            </w:r>
          </w:p>
        </w:tc>
      </w:tr>
      <w:tr w:rsidR="00E66558" w14:paraId="2A7D54CC" w14:textId="77777777" w:rsidTr="00DD6DE2">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CAB5A" w14:textId="77777777" w:rsidR="00E66558" w:rsidRDefault="00AC72AB">
            <w:pPr>
              <w:pStyle w:val="TableRow"/>
            </w:pPr>
            <w:r>
              <w:t>Tracey Cartwright</w:t>
            </w:r>
          </w:p>
          <w:p w14:paraId="2A7D54CB" w14:textId="685B1279" w:rsidR="008E337E" w:rsidRDefault="008E337E">
            <w:pPr>
              <w:pStyle w:val="TableRow"/>
            </w:pPr>
            <w:r>
              <w:t>Headteacher</w:t>
            </w:r>
          </w:p>
        </w:tc>
      </w:tr>
      <w:tr w:rsidR="00E66558" w14:paraId="2A7D54CF" w14:textId="77777777" w:rsidTr="00DD6DE2">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E8005" w14:textId="77777777" w:rsidR="00E66558" w:rsidRDefault="00B56531">
            <w:pPr>
              <w:pStyle w:val="TableRow"/>
            </w:pPr>
            <w:r>
              <w:t>Alison Williams</w:t>
            </w:r>
          </w:p>
          <w:p w14:paraId="2A7D54CE" w14:textId="47090FD1" w:rsidR="008E337E" w:rsidRDefault="008E337E">
            <w:pPr>
              <w:pStyle w:val="TableRow"/>
            </w:pPr>
            <w:r>
              <w:t>Assistant Headteacher</w:t>
            </w:r>
          </w:p>
        </w:tc>
      </w:tr>
      <w:tr w:rsidR="00E66558" w14:paraId="2A7D54D2" w14:textId="77777777" w:rsidTr="00DD6DE2">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38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0A877" w14:textId="4B185E93" w:rsidR="00E66558" w:rsidRDefault="00B56531">
            <w:pPr>
              <w:pStyle w:val="TableRow"/>
            </w:pPr>
            <w:r>
              <w:t>Samant</w:t>
            </w:r>
            <w:r w:rsidR="00D51818">
              <w:t>ha</w:t>
            </w:r>
            <w:r>
              <w:t xml:space="preserve"> Azzorpardi-Tudor</w:t>
            </w:r>
          </w:p>
          <w:p w14:paraId="2A7D54D1" w14:textId="22527870" w:rsidR="008E337E" w:rsidRDefault="008E337E">
            <w:pPr>
              <w:pStyle w:val="TableRow"/>
            </w:pPr>
            <w:r>
              <w:t>Disadvantage</w:t>
            </w:r>
            <w:r w:rsidR="00BB4F01">
              <w:t>d Pupils Governor</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1B29DCF2" w:rsidR="00E66558" w:rsidRDefault="009D71E8">
            <w:pPr>
              <w:pStyle w:val="TableRow"/>
            </w:pPr>
            <w:r>
              <w:t>£</w:t>
            </w:r>
            <w:r w:rsidR="001B13A8">
              <w:t>108735.00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E5B86FC" w:rsidR="00E66558" w:rsidRDefault="009D71E8">
            <w:pPr>
              <w:pStyle w:val="TableRow"/>
            </w:pPr>
            <w:r>
              <w:t>£</w:t>
            </w:r>
            <w:r w:rsidR="00CD6D37">
              <w:t>11165.00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3703388B" w:rsidR="00E66558" w:rsidRDefault="009D71E8">
            <w:pPr>
              <w:pStyle w:val="TableRow"/>
            </w:pPr>
            <w:r>
              <w:t>£</w:t>
            </w:r>
            <w:r w:rsidR="00AC72AB">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17473554" w:rsidR="00E66558" w:rsidRDefault="009D71E8">
            <w:pPr>
              <w:pStyle w:val="TableRow"/>
            </w:pPr>
            <w:r>
              <w:t>£</w:t>
            </w:r>
            <w:r w:rsidR="001B13A8">
              <w:t>1</w:t>
            </w:r>
            <w:r w:rsidR="00CD6D37">
              <w:t>19900</w:t>
            </w:r>
            <w:r w:rsidR="001B13A8">
              <w:t>.00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2E4A7" w14:textId="77777777" w:rsidR="00544A13" w:rsidRDefault="00544A13" w:rsidP="00544A13">
            <w:pPr>
              <w:rPr>
                <w:rFonts w:cs="Arial"/>
                <w:iCs/>
                <w:color w:val="auto"/>
              </w:rPr>
            </w:pPr>
          </w:p>
          <w:p w14:paraId="14F17644" w14:textId="1A2F54BF" w:rsidR="00912A42" w:rsidRPr="00544A13" w:rsidRDefault="00912A42" w:rsidP="00544A13">
            <w:pPr>
              <w:rPr>
                <w:rFonts w:cs="Arial"/>
                <w:iCs/>
                <w:color w:val="auto"/>
                <w:lang w:val="en-US"/>
              </w:rPr>
            </w:pPr>
            <w:r w:rsidRPr="00544A13">
              <w:rPr>
                <w:rFonts w:cs="Arial"/>
                <w:iCs/>
                <w:color w:val="auto"/>
              </w:rPr>
              <w:t xml:space="preserve">Our intention is that all pupils, irrespective of their background or the challenges they face, make good progress and achieve high attainment across all subject areas. </w:t>
            </w:r>
            <w:r w:rsidRPr="00544A13">
              <w:rPr>
                <w:rFonts w:cs="Arial"/>
                <w:iCs/>
                <w:color w:val="auto"/>
                <w:lang w:val="en-US"/>
              </w:rPr>
              <w:t xml:space="preserve">The focus of our pupil premium strategy is to support disadvantaged pupils to achieve that goal, including progress for those who are already high attainers. </w:t>
            </w:r>
          </w:p>
          <w:p w14:paraId="0E52C0E9" w14:textId="77777777" w:rsidR="00912A42" w:rsidRPr="00544A13" w:rsidRDefault="00912A42" w:rsidP="00912A42">
            <w:pPr>
              <w:spacing w:before="120"/>
              <w:rPr>
                <w:rFonts w:cs="Arial"/>
                <w:iCs/>
                <w:color w:val="auto"/>
              </w:rPr>
            </w:pPr>
            <w:r w:rsidRPr="00544A13">
              <w:rPr>
                <w:rFonts w:cs="Arial"/>
                <w:iCs/>
                <w:color w:val="auto"/>
                <w:lang w:val="en-US"/>
              </w:rPr>
              <w:t>We will consider the challenges faced by vulnerable pupils, such as those who have a social worker and young carers. The activity we have outlined in this statement is also intended to support their needs, regardless of whether they are disadvantaged or not.</w:t>
            </w:r>
          </w:p>
          <w:p w14:paraId="17BF5296" w14:textId="77777777" w:rsidR="00912A42" w:rsidRPr="00544A13" w:rsidRDefault="00912A42" w:rsidP="00912A42">
            <w:pPr>
              <w:rPr>
                <w:iCs/>
                <w:color w:val="auto"/>
                <w:lang w:val="en-US"/>
              </w:rPr>
            </w:pPr>
            <w:r w:rsidRPr="00544A13">
              <w:rPr>
                <w:rFonts w:cs="Arial"/>
                <w:iCs/>
                <w:color w:val="auto"/>
                <w:lang w:val="en-US"/>
              </w:rPr>
              <w:t xml:space="preserve">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w:t>
            </w:r>
            <w:r w:rsidRPr="00544A13">
              <w:rPr>
                <w:iCs/>
                <w:color w:val="auto"/>
                <w:lang w:val="en-US"/>
              </w:rPr>
              <w:t>Implicit in the intended outcomes detailed below, is the intention that non-disadvantaged pupils’ attainment will be sustained and improved alongside progress for their disadvantaged peers.</w:t>
            </w:r>
          </w:p>
          <w:p w14:paraId="21CFF0DA" w14:textId="77777777" w:rsidR="00912A42" w:rsidRPr="00544A13" w:rsidRDefault="00912A42" w:rsidP="00912A42">
            <w:pPr>
              <w:rPr>
                <w:rFonts w:cs="Arial"/>
                <w:color w:val="auto"/>
              </w:rPr>
            </w:pPr>
            <w:r w:rsidRPr="00544A13">
              <w:rPr>
                <w:rFonts w:cs="Arial"/>
                <w:color w:val="auto"/>
              </w:rPr>
              <w:t xml:space="preserve">Our strategy is also integral to wider school plans for education recovery, notably in its targeted support through the National Tutoring Programme for pupils whose education has been worst affected, including non-disadvantaged pupils.    </w:t>
            </w:r>
          </w:p>
          <w:p w14:paraId="4157A30D" w14:textId="77777777" w:rsidR="00912A42" w:rsidRPr="00544A13" w:rsidRDefault="00912A42" w:rsidP="00912A42">
            <w:pPr>
              <w:spacing w:after="120"/>
              <w:rPr>
                <w:rFonts w:cs="Arial"/>
                <w:iCs/>
                <w:color w:val="auto"/>
                <w:lang w:val="en-US"/>
              </w:rPr>
            </w:pPr>
            <w:r w:rsidRPr="00544A13">
              <w:rPr>
                <w:rFonts w:cs="Arial"/>
                <w:iCs/>
                <w:color w:val="auto"/>
                <w:lang w:val="en-US"/>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p>
          <w:p w14:paraId="5A170AFA" w14:textId="77777777" w:rsidR="00912A42" w:rsidRPr="00544A13" w:rsidRDefault="00912A42" w:rsidP="00912A42">
            <w:pPr>
              <w:numPr>
                <w:ilvl w:val="0"/>
                <w:numId w:val="15"/>
              </w:numPr>
              <w:suppressAutoHyphens w:val="0"/>
              <w:autoSpaceDN/>
              <w:contextualSpacing/>
              <w:rPr>
                <w:rFonts w:cs="Arial"/>
                <w:iCs/>
                <w:color w:val="auto"/>
                <w:lang w:val="en-US"/>
              </w:rPr>
            </w:pPr>
            <w:r w:rsidRPr="00544A13">
              <w:rPr>
                <w:rFonts w:cs="Arial"/>
                <w:iCs/>
                <w:color w:val="auto"/>
                <w:lang w:val="en-US"/>
              </w:rPr>
              <w:t>ensure disadvantaged pupils are challenged in the work that they’re set</w:t>
            </w:r>
          </w:p>
          <w:p w14:paraId="410D102E" w14:textId="77777777" w:rsidR="00912A42" w:rsidRPr="00544A13" w:rsidRDefault="00912A42" w:rsidP="00912A42">
            <w:pPr>
              <w:numPr>
                <w:ilvl w:val="0"/>
                <w:numId w:val="15"/>
              </w:numPr>
              <w:suppressAutoHyphens w:val="0"/>
              <w:autoSpaceDN/>
              <w:contextualSpacing/>
              <w:rPr>
                <w:rFonts w:cs="Arial"/>
                <w:iCs/>
                <w:color w:val="auto"/>
                <w:lang w:val="en-US"/>
              </w:rPr>
            </w:pPr>
            <w:r w:rsidRPr="00544A13">
              <w:rPr>
                <w:rFonts w:cs="Arial"/>
                <w:color w:val="auto"/>
              </w:rPr>
              <w:t>act early to intervene at the point need is identified</w:t>
            </w:r>
          </w:p>
          <w:p w14:paraId="6555932E" w14:textId="61918E9E" w:rsidR="00C00AFB" w:rsidRDefault="00912A42" w:rsidP="00C00AFB">
            <w:pPr>
              <w:rPr>
                <w:i/>
                <w:iCs/>
              </w:rPr>
            </w:pPr>
            <w:r w:rsidRPr="00544A13">
              <w:rPr>
                <w:rFonts w:cs="Arial"/>
                <w:color w:val="auto"/>
              </w:rPr>
              <w:t>adopt a whole school approach in which all staff take responsibility for disadvantaged pupils’ outcomes and raise expectations of what they can achieve.</w:t>
            </w:r>
          </w:p>
          <w:p w14:paraId="29AFF28F" w14:textId="77777777" w:rsidR="00C00AFB" w:rsidRDefault="00C00AFB" w:rsidP="00C00AFB">
            <w:pPr>
              <w:rPr>
                <w:i/>
                <w:iCs/>
              </w:rPr>
            </w:pPr>
          </w:p>
          <w:p w14:paraId="3C3A0115" w14:textId="77777777" w:rsidR="00DD6DE2" w:rsidRDefault="00DD6DE2" w:rsidP="00C00AFB">
            <w:pPr>
              <w:rPr>
                <w:i/>
                <w:iCs/>
              </w:rPr>
            </w:pPr>
          </w:p>
          <w:p w14:paraId="2A7D54E9" w14:textId="5DF93383" w:rsidR="00DD6DE2" w:rsidRPr="00C00AFB" w:rsidRDefault="00DD6DE2" w:rsidP="00C00AFB">
            <w:pPr>
              <w:rPr>
                <w:i/>
                <w:iCs/>
              </w:rPr>
            </w:pPr>
          </w:p>
        </w:tc>
      </w:tr>
    </w:tbl>
    <w:p w14:paraId="40F60666" w14:textId="366EBFED" w:rsidR="00DD6DE2" w:rsidRPr="00DD6DE2" w:rsidRDefault="009D71E8" w:rsidP="00DD6DE2">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5203EBDD" w:rsidR="00E66558" w:rsidRDefault="009D71E8">
            <w:pPr>
              <w:pStyle w:val="TableHeader"/>
              <w:jc w:val="left"/>
            </w:pPr>
            <w:r>
              <w:t xml:space="preserve">Detail of challenge </w:t>
            </w:r>
          </w:p>
        </w:tc>
      </w:tr>
      <w:tr w:rsidR="00653F32" w14:paraId="5752B68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778DE" w14:textId="505149C8" w:rsidR="00653F32" w:rsidRDefault="00455BFE">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8A74D" w14:textId="53E3C9D4" w:rsidR="00653F32" w:rsidRPr="00A9290D" w:rsidRDefault="00653F32" w:rsidP="00A9290D">
            <w:pPr>
              <w:suppressAutoHyphens w:val="0"/>
              <w:autoSpaceDN/>
              <w:spacing w:before="60" w:after="120" w:line="240" w:lineRule="auto"/>
              <w:ind w:right="57"/>
              <w:rPr>
                <w:rFonts w:cs="Arial"/>
                <w:iCs/>
                <w:color w:val="auto"/>
                <w:u w:val="single"/>
                <w:lang w:val="en-US"/>
              </w:rPr>
            </w:pPr>
            <w:r w:rsidRPr="00A9290D">
              <w:rPr>
                <w:rFonts w:cs="Arial"/>
                <w:iCs/>
                <w:color w:val="auto"/>
                <w:u w:val="single"/>
                <w:lang w:val="en-US"/>
              </w:rPr>
              <w:t>Attainment gaps</w:t>
            </w:r>
          </w:p>
          <w:p w14:paraId="1B30E2A3" w14:textId="52E93B93" w:rsidR="00653F32" w:rsidRDefault="00653F32" w:rsidP="00A9290D">
            <w:pPr>
              <w:suppressAutoHyphens w:val="0"/>
              <w:autoSpaceDN/>
              <w:spacing w:before="60" w:after="120" w:line="240" w:lineRule="auto"/>
              <w:ind w:right="57"/>
              <w:rPr>
                <w:iCs/>
                <w:color w:val="auto"/>
                <w:lang w:val="en-US"/>
              </w:rPr>
            </w:pPr>
            <w:r w:rsidRPr="00E27862">
              <w:rPr>
                <w:rFonts w:cs="Arial"/>
                <w:iCs/>
                <w:color w:val="auto"/>
                <w:lang w:val="en-US"/>
              </w:rPr>
              <w:t>Internal assessments indicate</w:t>
            </w:r>
            <w:r w:rsidRPr="00E27862">
              <w:rPr>
                <w:iCs/>
                <w:color w:val="auto"/>
                <w:lang w:val="en-US"/>
              </w:rPr>
              <w:t xml:space="preserve"> tha</w:t>
            </w:r>
            <w:r w:rsidR="00F66DF4">
              <w:rPr>
                <w:iCs/>
                <w:color w:val="auto"/>
                <w:lang w:val="en-US"/>
              </w:rPr>
              <w:t>t</w:t>
            </w:r>
            <w:r w:rsidRPr="00E27862">
              <w:rPr>
                <w:iCs/>
                <w:color w:val="auto"/>
                <w:lang w:val="en-US"/>
              </w:rPr>
              <w:t xml:space="preserve"> attainment among disadvantaged pupils is</w:t>
            </w:r>
            <w:r w:rsidR="00F66DF4">
              <w:rPr>
                <w:iCs/>
                <w:color w:val="auto"/>
                <w:lang w:val="en-US"/>
              </w:rPr>
              <w:t xml:space="preserve"> </w:t>
            </w:r>
            <w:r w:rsidRPr="00E27862">
              <w:rPr>
                <w:iCs/>
                <w:color w:val="auto"/>
                <w:lang w:val="en-US"/>
              </w:rPr>
              <w:t>below that of non-disadvantaged pupils</w:t>
            </w:r>
            <w:r w:rsidR="00F66DF4">
              <w:rPr>
                <w:iCs/>
                <w:color w:val="auto"/>
                <w:lang w:val="en-US"/>
              </w:rPr>
              <w:t xml:space="preserve"> for reading, writing and maths.</w:t>
            </w:r>
          </w:p>
          <w:tbl>
            <w:tblPr>
              <w:tblStyle w:val="TableGrid"/>
              <w:tblpPr w:leftFromText="180" w:rightFromText="180" w:vertAnchor="text" w:horzAnchor="margin" w:tblpY="456"/>
              <w:tblOverlap w:val="never"/>
              <w:tblW w:w="0" w:type="auto"/>
              <w:tblLook w:val="04A0" w:firstRow="1" w:lastRow="0" w:firstColumn="1" w:lastColumn="0" w:noHBand="0" w:noVBand="1"/>
            </w:tblPr>
            <w:tblGrid>
              <w:gridCol w:w="1932"/>
              <w:gridCol w:w="1931"/>
              <w:gridCol w:w="1931"/>
              <w:gridCol w:w="1932"/>
            </w:tblGrid>
            <w:tr w:rsidR="002A1254" w14:paraId="747EABB2" w14:textId="77777777" w:rsidTr="002A1254">
              <w:tc>
                <w:tcPr>
                  <w:tcW w:w="1932" w:type="dxa"/>
                  <w:shd w:val="clear" w:color="auto" w:fill="D9D9D9" w:themeFill="background1" w:themeFillShade="D9"/>
                </w:tcPr>
                <w:p w14:paraId="70D29ACF" w14:textId="77777777" w:rsidR="002A1254" w:rsidRDefault="002A1254" w:rsidP="002A1254">
                  <w:pPr>
                    <w:suppressAutoHyphens w:val="0"/>
                    <w:autoSpaceDN/>
                    <w:spacing w:before="60" w:after="120" w:line="240" w:lineRule="auto"/>
                    <w:ind w:right="57"/>
                    <w:jc w:val="center"/>
                    <w:rPr>
                      <w:iCs/>
                      <w:color w:val="auto"/>
                      <w:lang w:val="en-US"/>
                    </w:rPr>
                  </w:pPr>
                  <w:r>
                    <w:rPr>
                      <w:iCs/>
                      <w:color w:val="auto"/>
                      <w:lang w:val="en-US"/>
                    </w:rPr>
                    <w:t>Autumn 2021 RAP</w:t>
                  </w:r>
                </w:p>
              </w:tc>
              <w:tc>
                <w:tcPr>
                  <w:tcW w:w="1931" w:type="dxa"/>
                  <w:shd w:val="clear" w:color="auto" w:fill="D9D9D9" w:themeFill="background1" w:themeFillShade="D9"/>
                </w:tcPr>
                <w:p w14:paraId="5A89F4A1" w14:textId="77777777" w:rsidR="002A1254" w:rsidRDefault="002A1254" w:rsidP="002A1254">
                  <w:pPr>
                    <w:suppressAutoHyphens w:val="0"/>
                    <w:autoSpaceDN/>
                    <w:spacing w:before="60" w:after="120" w:line="240" w:lineRule="auto"/>
                    <w:ind w:right="57"/>
                    <w:jc w:val="center"/>
                    <w:rPr>
                      <w:iCs/>
                      <w:color w:val="auto"/>
                      <w:lang w:val="en-US"/>
                    </w:rPr>
                  </w:pPr>
                  <w:r>
                    <w:rPr>
                      <w:iCs/>
                      <w:color w:val="auto"/>
                      <w:lang w:val="en-US"/>
                    </w:rPr>
                    <w:t>Reading</w:t>
                  </w:r>
                </w:p>
                <w:p w14:paraId="797AA106" w14:textId="77777777" w:rsidR="002A1254" w:rsidRDefault="002A1254" w:rsidP="002A1254">
                  <w:pPr>
                    <w:suppressAutoHyphens w:val="0"/>
                    <w:autoSpaceDN/>
                    <w:spacing w:before="60" w:after="120" w:line="240" w:lineRule="auto"/>
                    <w:ind w:right="57"/>
                    <w:jc w:val="center"/>
                    <w:rPr>
                      <w:iCs/>
                      <w:color w:val="auto"/>
                      <w:lang w:val="en-US"/>
                    </w:rPr>
                  </w:pPr>
                  <w:r w:rsidRPr="006F6095">
                    <w:rPr>
                      <w:iCs/>
                      <w:color w:val="FF0000"/>
                      <w:lang w:val="en-US"/>
                    </w:rPr>
                    <w:t>PPG</w:t>
                  </w:r>
                </w:p>
              </w:tc>
              <w:tc>
                <w:tcPr>
                  <w:tcW w:w="1931" w:type="dxa"/>
                  <w:shd w:val="clear" w:color="auto" w:fill="D9D9D9" w:themeFill="background1" w:themeFillShade="D9"/>
                </w:tcPr>
                <w:p w14:paraId="70804987" w14:textId="77777777" w:rsidR="002A1254" w:rsidRDefault="002A1254" w:rsidP="002A1254">
                  <w:pPr>
                    <w:suppressAutoHyphens w:val="0"/>
                    <w:autoSpaceDN/>
                    <w:spacing w:before="60" w:after="120" w:line="240" w:lineRule="auto"/>
                    <w:ind w:right="57"/>
                    <w:jc w:val="center"/>
                    <w:rPr>
                      <w:iCs/>
                      <w:color w:val="auto"/>
                      <w:lang w:val="en-US"/>
                    </w:rPr>
                  </w:pPr>
                  <w:r>
                    <w:rPr>
                      <w:iCs/>
                      <w:color w:val="auto"/>
                      <w:lang w:val="en-US"/>
                    </w:rPr>
                    <w:t>Writing</w:t>
                  </w:r>
                </w:p>
                <w:p w14:paraId="0491C50B" w14:textId="77777777" w:rsidR="002A1254" w:rsidRDefault="002A1254" w:rsidP="002A1254">
                  <w:pPr>
                    <w:suppressAutoHyphens w:val="0"/>
                    <w:autoSpaceDN/>
                    <w:spacing w:before="60" w:after="120" w:line="240" w:lineRule="auto"/>
                    <w:ind w:right="57"/>
                    <w:jc w:val="center"/>
                    <w:rPr>
                      <w:iCs/>
                      <w:color w:val="auto"/>
                      <w:lang w:val="en-US"/>
                    </w:rPr>
                  </w:pPr>
                  <w:r w:rsidRPr="006F6095">
                    <w:rPr>
                      <w:iCs/>
                      <w:color w:val="FF0000"/>
                      <w:lang w:val="en-US"/>
                    </w:rPr>
                    <w:t>PPG</w:t>
                  </w:r>
                </w:p>
              </w:tc>
              <w:tc>
                <w:tcPr>
                  <w:tcW w:w="1932" w:type="dxa"/>
                  <w:shd w:val="clear" w:color="auto" w:fill="D9D9D9" w:themeFill="background1" w:themeFillShade="D9"/>
                </w:tcPr>
                <w:p w14:paraId="6740FA5B" w14:textId="77777777" w:rsidR="002A1254" w:rsidRDefault="002A1254" w:rsidP="002A1254">
                  <w:pPr>
                    <w:suppressAutoHyphens w:val="0"/>
                    <w:autoSpaceDN/>
                    <w:spacing w:before="60" w:after="120" w:line="240" w:lineRule="auto"/>
                    <w:ind w:right="57"/>
                    <w:jc w:val="center"/>
                    <w:rPr>
                      <w:iCs/>
                      <w:color w:val="auto"/>
                      <w:lang w:val="en-US"/>
                    </w:rPr>
                  </w:pPr>
                  <w:r>
                    <w:rPr>
                      <w:iCs/>
                      <w:color w:val="auto"/>
                      <w:lang w:val="en-US"/>
                    </w:rPr>
                    <w:t>Maths</w:t>
                  </w:r>
                </w:p>
                <w:p w14:paraId="42D15A36" w14:textId="77777777" w:rsidR="002A1254" w:rsidRDefault="002A1254" w:rsidP="002A1254">
                  <w:pPr>
                    <w:suppressAutoHyphens w:val="0"/>
                    <w:autoSpaceDN/>
                    <w:spacing w:before="60" w:after="120" w:line="240" w:lineRule="auto"/>
                    <w:ind w:right="57"/>
                    <w:jc w:val="center"/>
                    <w:rPr>
                      <w:iCs/>
                      <w:color w:val="auto"/>
                      <w:lang w:val="en-US"/>
                    </w:rPr>
                  </w:pPr>
                  <w:r w:rsidRPr="006F6095">
                    <w:rPr>
                      <w:iCs/>
                      <w:color w:val="FF0000"/>
                      <w:lang w:val="en-US"/>
                    </w:rPr>
                    <w:t>PPG</w:t>
                  </w:r>
                </w:p>
              </w:tc>
            </w:tr>
            <w:tr w:rsidR="002A1254" w14:paraId="211FB3C6" w14:textId="77777777" w:rsidTr="002A1254">
              <w:tc>
                <w:tcPr>
                  <w:tcW w:w="1932" w:type="dxa"/>
                  <w:shd w:val="clear" w:color="auto" w:fill="D9D9D9" w:themeFill="background1" w:themeFillShade="D9"/>
                </w:tcPr>
                <w:p w14:paraId="3A8DC2F3" w14:textId="77777777" w:rsidR="002A1254" w:rsidRDefault="002A1254" w:rsidP="002A1254">
                  <w:pPr>
                    <w:suppressAutoHyphens w:val="0"/>
                    <w:autoSpaceDN/>
                    <w:spacing w:before="60" w:after="120" w:line="240" w:lineRule="auto"/>
                    <w:ind w:right="57"/>
                    <w:jc w:val="center"/>
                    <w:rPr>
                      <w:iCs/>
                      <w:color w:val="auto"/>
                      <w:lang w:val="en-US"/>
                    </w:rPr>
                  </w:pPr>
                  <w:r>
                    <w:rPr>
                      <w:iCs/>
                      <w:color w:val="auto"/>
                      <w:lang w:val="en-US"/>
                    </w:rPr>
                    <w:t>Year 4</w:t>
                  </w:r>
                </w:p>
              </w:tc>
              <w:tc>
                <w:tcPr>
                  <w:tcW w:w="1931" w:type="dxa"/>
                </w:tcPr>
                <w:p w14:paraId="6B7CC4B5" w14:textId="77777777" w:rsidR="002A1254" w:rsidRDefault="002A1254" w:rsidP="002A1254">
                  <w:pPr>
                    <w:suppressAutoHyphens w:val="0"/>
                    <w:autoSpaceDN/>
                    <w:spacing w:before="60" w:after="120" w:line="240" w:lineRule="auto"/>
                    <w:ind w:right="57"/>
                    <w:rPr>
                      <w:iCs/>
                      <w:color w:val="auto"/>
                      <w:lang w:val="en-US"/>
                    </w:rPr>
                  </w:pPr>
                  <w:r>
                    <w:rPr>
                      <w:iCs/>
                      <w:color w:val="auto"/>
                      <w:lang w:val="en-US"/>
                    </w:rPr>
                    <w:t xml:space="preserve">74% </w:t>
                  </w:r>
                  <w:r w:rsidRPr="006F6095">
                    <w:rPr>
                      <w:iCs/>
                      <w:color w:val="FF0000"/>
                      <w:lang w:val="en-US"/>
                    </w:rPr>
                    <w:t>60%</w:t>
                  </w:r>
                </w:p>
              </w:tc>
              <w:tc>
                <w:tcPr>
                  <w:tcW w:w="1931" w:type="dxa"/>
                </w:tcPr>
                <w:p w14:paraId="2C934B31" w14:textId="77777777" w:rsidR="002A1254" w:rsidRDefault="002A1254" w:rsidP="002A1254">
                  <w:pPr>
                    <w:suppressAutoHyphens w:val="0"/>
                    <w:autoSpaceDN/>
                    <w:spacing w:before="60" w:after="120" w:line="240" w:lineRule="auto"/>
                    <w:ind w:right="57"/>
                    <w:rPr>
                      <w:iCs/>
                      <w:color w:val="auto"/>
                      <w:lang w:val="en-US"/>
                    </w:rPr>
                  </w:pPr>
                  <w:r>
                    <w:rPr>
                      <w:iCs/>
                      <w:color w:val="auto"/>
                      <w:lang w:val="en-US"/>
                    </w:rPr>
                    <w:t xml:space="preserve">67% </w:t>
                  </w:r>
                  <w:r w:rsidRPr="006F6095">
                    <w:rPr>
                      <w:iCs/>
                      <w:color w:val="FF0000"/>
                      <w:lang w:val="en-US"/>
                    </w:rPr>
                    <w:t>50%</w:t>
                  </w:r>
                </w:p>
              </w:tc>
              <w:tc>
                <w:tcPr>
                  <w:tcW w:w="1932" w:type="dxa"/>
                </w:tcPr>
                <w:p w14:paraId="29B85EF5" w14:textId="77777777" w:rsidR="002A1254" w:rsidRDefault="002A1254" w:rsidP="002A1254">
                  <w:pPr>
                    <w:suppressAutoHyphens w:val="0"/>
                    <w:autoSpaceDN/>
                    <w:spacing w:before="60" w:after="120" w:line="240" w:lineRule="auto"/>
                    <w:ind w:right="57"/>
                    <w:rPr>
                      <w:iCs/>
                      <w:color w:val="auto"/>
                      <w:lang w:val="en-US"/>
                    </w:rPr>
                  </w:pPr>
                  <w:r>
                    <w:rPr>
                      <w:iCs/>
                      <w:color w:val="auto"/>
                      <w:lang w:val="en-US"/>
                    </w:rPr>
                    <w:t xml:space="preserve">74% </w:t>
                  </w:r>
                  <w:r w:rsidRPr="006F6095">
                    <w:rPr>
                      <w:iCs/>
                      <w:color w:val="FF0000"/>
                      <w:lang w:val="en-US"/>
                    </w:rPr>
                    <w:t>60%</w:t>
                  </w:r>
                </w:p>
              </w:tc>
            </w:tr>
            <w:tr w:rsidR="002A1254" w14:paraId="586E23CF" w14:textId="77777777" w:rsidTr="002A1254">
              <w:tc>
                <w:tcPr>
                  <w:tcW w:w="1932" w:type="dxa"/>
                  <w:shd w:val="clear" w:color="auto" w:fill="D9D9D9" w:themeFill="background1" w:themeFillShade="D9"/>
                </w:tcPr>
                <w:p w14:paraId="58407371" w14:textId="77777777" w:rsidR="002A1254" w:rsidRDefault="002A1254" w:rsidP="002A1254">
                  <w:pPr>
                    <w:suppressAutoHyphens w:val="0"/>
                    <w:autoSpaceDN/>
                    <w:spacing w:before="60" w:after="120" w:line="240" w:lineRule="auto"/>
                    <w:ind w:right="57"/>
                    <w:jc w:val="center"/>
                    <w:rPr>
                      <w:iCs/>
                      <w:color w:val="auto"/>
                      <w:lang w:val="en-US"/>
                    </w:rPr>
                  </w:pPr>
                  <w:r>
                    <w:rPr>
                      <w:iCs/>
                      <w:color w:val="auto"/>
                      <w:lang w:val="en-US"/>
                    </w:rPr>
                    <w:t>Year 5</w:t>
                  </w:r>
                </w:p>
              </w:tc>
              <w:tc>
                <w:tcPr>
                  <w:tcW w:w="1931" w:type="dxa"/>
                </w:tcPr>
                <w:p w14:paraId="3B999EF3" w14:textId="77777777" w:rsidR="002A1254" w:rsidRDefault="002A1254" w:rsidP="002A1254">
                  <w:pPr>
                    <w:suppressAutoHyphens w:val="0"/>
                    <w:autoSpaceDN/>
                    <w:spacing w:before="60" w:after="120" w:line="240" w:lineRule="auto"/>
                    <w:ind w:right="57"/>
                    <w:rPr>
                      <w:iCs/>
                      <w:color w:val="auto"/>
                      <w:lang w:val="en-US"/>
                    </w:rPr>
                  </w:pPr>
                  <w:r>
                    <w:rPr>
                      <w:iCs/>
                      <w:color w:val="auto"/>
                      <w:lang w:val="en-US"/>
                    </w:rPr>
                    <w:t xml:space="preserve">76% </w:t>
                  </w:r>
                  <w:r w:rsidRPr="006F6095">
                    <w:rPr>
                      <w:iCs/>
                      <w:color w:val="FF0000"/>
                      <w:lang w:val="en-US"/>
                    </w:rPr>
                    <w:t>70%</w:t>
                  </w:r>
                </w:p>
              </w:tc>
              <w:tc>
                <w:tcPr>
                  <w:tcW w:w="1931" w:type="dxa"/>
                </w:tcPr>
                <w:p w14:paraId="0F73B582" w14:textId="77777777" w:rsidR="002A1254" w:rsidRDefault="002A1254" w:rsidP="002A1254">
                  <w:pPr>
                    <w:suppressAutoHyphens w:val="0"/>
                    <w:autoSpaceDN/>
                    <w:spacing w:before="60" w:after="120" w:line="240" w:lineRule="auto"/>
                    <w:ind w:right="57"/>
                    <w:rPr>
                      <w:iCs/>
                      <w:color w:val="auto"/>
                      <w:lang w:val="en-US"/>
                    </w:rPr>
                  </w:pPr>
                  <w:r>
                    <w:rPr>
                      <w:iCs/>
                      <w:color w:val="auto"/>
                      <w:lang w:val="en-US"/>
                    </w:rPr>
                    <w:t xml:space="preserve">80% </w:t>
                  </w:r>
                  <w:r w:rsidRPr="006F6095">
                    <w:rPr>
                      <w:iCs/>
                      <w:color w:val="FF0000"/>
                      <w:lang w:val="en-US"/>
                    </w:rPr>
                    <w:t>70%</w:t>
                  </w:r>
                </w:p>
              </w:tc>
              <w:tc>
                <w:tcPr>
                  <w:tcW w:w="1932" w:type="dxa"/>
                </w:tcPr>
                <w:p w14:paraId="6506FEE9" w14:textId="77777777" w:rsidR="002A1254" w:rsidRDefault="002A1254" w:rsidP="002A1254">
                  <w:pPr>
                    <w:suppressAutoHyphens w:val="0"/>
                    <w:autoSpaceDN/>
                    <w:spacing w:before="60" w:after="120" w:line="240" w:lineRule="auto"/>
                    <w:ind w:right="57"/>
                    <w:rPr>
                      <w:iCs/>
                      <w:color w:val="auto"/>
                      <w:lang w:val="en-US"/>
                    </w:rPr>
                  </w:pPr>
                  <w:r>
                    <w:rPr>
                      <w:iCs/>
                      <w:color w:val="auto"/>
                      <w:lang w:val="en-US"/>
                    </w:rPr>
                    <w:t xml:space="preserve">79% </w:t>
                  </w:r>
                  <w:r w:rsidRPr="006F6095">
                    <w:rPr>
                      <w:iCs/>
                      <w:color w:val="FF0000"/>
                      <w:lang w:val="en-US"/>
                    </w:rPr>
                    <w:t>70%</w:t>
                  </w:r>
                </w:p>
              </w:tc>
            </w:tr>
            <w:tr w:rsidR="002A1254" w14:paraId="3E3B102E" w14:textId="77777777" w:rsidTr="002A1254">
              <w:tc>
                <w:tcPr>
                  <w:tcW w:w="1932" w:type="dxa"/>
                  <w:shd w:val="clear" w:color="auto" w:fill="D9D9D9" w:themeFill="background1" w:themeFillShade="D9"/>
                </w:tcPr>
                <w:p w14:paraId="14609D02" w14:textId="77777777" w:rsidR="002A1254" w:rsidRDefault="002A1254" w:rsidP="002A1254">
                  <w:pPr>
                    <w:suppressAutoHyphens w:val="0"/>
                    <w:autoSpaceDN/>
                    <w:spacing w:before="60" w:after="120" w:line="240" w:lineRule="auto"/>
                    <w:ind w:right="57"/>
                    <w:jc w:val="center"/>
                    <w:rPr>
                      <w:iCs/>
                      <w:color w:val="auto"/>
                      <w:lang w:val="en-US"/>
                    </w:rPr>
                  </w:pPr>
                  <w:r>
                    <w:rPr>
                      <w:iCs/>
                      <w:color w:val="auto"/>
                      <w:lang w:val="en-US"/>
                    </w:rPr>
                    <w:t>Year 6</w:t>
                  </w:r>
                </w:p>
              </w:tc>
              <w:tc>
                <w:tcPr>
                  <w:tcW w:w="1931" w:type="dxa"/>
                </w:tcPr>
                <w:p w14:paraId="59742347" w14:textId="77777777" w:rsidR="002A1254" w:rsidRDefault="002A1254" w:rsidP="002A1254">
                  <w:pPr>
                    <w:suppressAutoHyphens w:val="0"/>
                    <w:autoSpaceDN/>
                    <w:spacing w:before="60" w:after="120" w:line="240" w:lineRule="auto"/>
                    <w:ind w:right="57"/>
                    <w:rPr>
                      <w:iCs/>
                      <w:color w:val="auto"/>
                      <w:lang w:val="en-US"/>
                    </w:rPr>
                  </w:pPr>
                  <w:r>
                    <w:rPr>
                      <w:iCs/>
                      <w:color w:val="auto"/>
                      <w:lang w:val="en-US"/>
                    </w:rPr>
                    <w:t xml:space="preserve">73% </w:t>
                  </w:r>
                  <w:r w:rsidRPr="00A9290D">
                    <w:rPr>
                      <w:iCs/>
                      <w:color w:val="FF0000"/>
                      <w:lang w:val="en-US"/>
                    </w:rPr>
                    <w:t>60%</w:t>
                  </w:r>
                </w:p>
              </w:tc>
              <w:tc>
                <w:tcPr>
                  <w:tcW w:w="1931" w:type="dxa"/>
                </w:tcPr>
                <w:p w14:paraId="577A348E" w14:textId="77777777" w:rsidR="002A1254" w:rsidRDefault="002A1254" w:rsidP="002A1254">
                  <w:pPr>
                    <w:suppressAutoHyphens w:val="0"/>
                    <w:autoSpaceDN/>
                    <w:spacing w:before="60" w:after="120" w:line="240" w:lineRule="auto"/>
                    <w:ind w:right="57"/>
                    <w:rPr>
                      <w:iCs/>
                      <w:color w:val="auto"/>
                      <w:lang w:val="en-US"/>
                    </w:rPr>
                  </w:pPr>
                  <w:r>
                    <w:rPr>
                      <w:iCs/>
                      <w:color w:val="auto"/>
                      <w:lang w:val="en-US"/>
                    </w:rPr>
                    <w:t xml:space="preserve">67% </w:t>
                  </w:r>
                  <w:r w:rsidRPr="00A9290D">
                    <w:rPr>
                      <w:iCs/>
                      <w:color w:val="FF0000"/>
                      <w:lang w:val="en-US"/>
                    </w:rPr>
                    <w:t>53%</w:t>
                  </w:r>
                </w:p>
              </w:tc>
              <w:tc>
                <w:tcPr>
                  <w:tcW w:w="1932" w:type="dxa"/>
                </w:tcPr>
                <w:p w14:paraId="063F1CA8" w14:textId="77777777" w:rsidR="002A1254" w:rsidRDefault="002A1254" w:rsidP="002A1254">
                  <w:pPr>
                    <w:suppressAutoHyphens w:val="0"/>
                    <w:autoSpaceDN/>
                    <w:spacing w:before="60" w:after="120" w:line="240" w:lineRule="auto"/>
                    <w:ind w:right="57"/>
                    <w:rPr>
                      <w:iCs/>
                      <w:color w:val="auto"/>
                      <w:lang w:val="en-US"/>
                    </w:rPr>
                  </w:pPr>
                  <w:r>
                    <w:rPr>
                      <w:iCs/>
                      <w:color w:val="auto"/>
                      <w:lang w:val="en-US"/>
                    </w:rPr>
                    <w:t xml:space="preserve">73% </w:t>
                  </w:r>
                  <w:r w:rsidRPr="00A9290D">
                    <w:rPr>
                      <w:iCs/>
                      <w:color w:val="FF0000"/>
                      <w:lang w:val="en-US"/>
                    </w:rPr>
                    <w:t>67%</w:t>
                  </w:r>
                </w:p>
              </w:tc>
            </w:tr>
          </w:tbl>
          <w:p w14:paraId="589F5855" w14:textId="774612C8" w:rsidR="002A1254" w:rsidRDefault="002A1254" w:rsidP="00A9290D">
            <w:pPr>
              <w:suppressAutoHyphens w:val="0"/>
              <w:autoSpaceDN/>
              <w:spacing w:before="60" w:after="120" w:line="240" w:lineRule="auto"/>
              <w:ind w:right="57"/>
              <w:rPr>
                <w:iCs/>
                <w:color w:val="auto"/>
                <w:lang w:val="en-US"/>
              </w:rPr>
            </w:pPr>
          </w:p>
          <w:p w14:paraId="6174C266" w14:textId="77EB7931" w:rsidR="00653F32" w:rsidRDefault="00653F32" w:rsidP="00E051CC">
            <w:pPr>
              <w:pStyle w:val="TableRowCentered"/>
              <w:ind w:left="0"/>
              <w:jc w:val="left"/>
            </w:pP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4AFF2987" w:rsidR="00E66558" w:rsidRDefault="00E051CC">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C5DBC" w14:textId="77777777" w:rsidR="00E051CC" w:rsidRDefault="00C00AFB">
            <w:pPr>
              <w:pStyle w:val="TableRowCentered"/>
              <w:jc w:val="left"/>
            </w:pPr>
            <w:r w:rsidRPr="00E051CC">
              <w:rPr>
                <w:u w:val="single"/>
              </w:rPr>
              <w:t>Low aspirations</w:t>
            </w:r>
            <w:r w:rsidR="006A02B8">
              <w:t xml:space="preserve"> </w:t>
            </w:r>
          </w:p>
          <w:p w14:paraId="0BB035E2" w14:textId="22E8605D" w:rsidR="00E051CC" w:rsidRDefault="00E051CC">
            <w:pPr>
              <w:pStyle w:val="TableRowCentered"/>
              <w:jc w:val="left"/>
            </w:pPr>
          </w:p>
          <w:p w14:paraId="5A67CDBF" w14:textId="77777777" w:rsidR="00C00AFB" w:rsidRDefault="00AD5BD7" w:rsidP="001E3214">
            <w:pPr>
              <w:pStyle w:val="TableRowCentered"/>
              <w:jc w:val="left"/>
            </w:pPr>
            <w:r>
              <w:t>Parent voice has shown that many families have not attended Further Education and it is not deemed accessible for their children.</w:t>
            </w:r>
            <w:r w:rsidR="001E3214">
              <w:t xml:space="preserve"> Pupil Voice shows that children, and especially those </w:t>
            </w:r>
            <w:r w:rsidR="00302DFB">
              <w:t xml:space="preserve">disadvantaged children, do not have high aspirations for themselves. </w:t>
            </w:r>
          </w:p>
          <w:p w14:paraId="2A7D54F1" w14:textId="1D0EC351" w:rsidR="00302DFB" w:rsidRDefault="00302DFB" w:rsidP="001E3214">
            <w:pPr>
              <w:pStyle w:val="TableRowCentered"/>
              <w:jc w:val="left"/>
            </w:pP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3D263F4A" w:rsidR="00E66558" w:rsidRDefault="00302DFB">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D2FE0" w14:textId="3E346CA7" w:rsidR="00E66558" w:rsidRPr="00F6676A" w:rsidRDefault="00C00AFB">
            <w:pPr>
              <w:pStyle w:val="TableRowCentered"/>
              <w:jc w:val="left"/>
              <w:rPr>
                <w:sz w:val="22"/>
                <w:szCs w:val="22"/>
                <w:u w:val="single"/>
              </w:rPr>
            </w:pPr>
            <w:r w:rsidRPr="00F6676A">
              <w:rPr>
                <w:sz w:val="22"/>
                <w:szCs w:val="22"/>
                <w:u w:val="single"/>
              </w:rPr>
              <w:t xml:space="preserve">Gaps from </w:t>
            </w:r>
            <w:r w:rsidR="00F6676A" w:rsidRPr="00F6676A">
              <w:rPr>
                <w:sz w:val="22"/>
                <w:szCs w:val="22"/>
                <w:u w:val="single"/>
              </w:rPr>
              <w:t xml:space="preserve">Covid-19 </w:t>
            </w:r>
            <w:r w:rsidRPr="00F6676A">
              <w:rPr>
                <w:sz w:val="22"/>
                <w:szCs w:val="22"/>
                <w:u w:val="single"/>
              </w:rPr>
              <w:t>Lockdown</w:t>
            </w:r>
          </w:p>
          <w:p w14:paraId="27B9EF66" w14:textId="77777777" w:rsidR="00805585" w:rsidRDefault="00805585">
            <w:pPr>
              <w:pStyle w:val="TableRowCentered"/>
              <w:jc w:val="left"/>
              <w:rPr>
                <w:sz w:val="22"/>
                <w:szCs w:val="22"/>
              </w:rPr>
            </w:pPr>
          </w:p>
          <w:p w14:paraId="651D4F51" w14:textId="7AE8828F" w:rsidR="00805585" w:rsidRDefault="00805585" w:rsidP="00F6676A">
            <w:pPr>
              <w:suppressAutoHyphens w:val="0"/>
              <w:autoSpaceDN/>
              <w:spacing w:before="60" w:after="120" w:line="240" w:lineRule="auto"/>
              <w:ind w:left="57" w:right="57"/>
              <w:rPr>
                <w:rFonts w:cs="Arial"/>
                <w:color w:val="auto"/>
              </w:rPr>
            </w:pPr>
            <w:r w:rsidRPr="00E27862">
              <w:rPr>
                <w:rFonts w:cs="Arial"/>
                <w:iCs/>
                <w:color w:val="auto"/>
              </w:rPr>
              <w:t>Our assessments and observations indicate that the education and wellbeing of m</w:t>
            </w:r>
            <w:r w:rsidRPr="00E27862">
              <w:rPr>
                <w:rFonts w:cs="Arial"/>
                <w:color w:val="auto"/>
              </w:rPr>
              <w:t>any of our disadvantaged pupils have been impacted by partial school closures to a greater extent than for other pupils. These findings are supported by national studies. This has resulted in significant knowledge gaps leading to pupils falling further behind age-related expectations</w:t>
            </w:r>
            <w:r w:rsidR="00F6676A">
              <w:rPr>
                <w:rFonts w:cs="Arial"/>
                <w:color w:val="auto"/>
              </w:rPr>
              <w:t>.</w:t>
            </w:r>
          </w:p>
          <w:p w14:paraId="44E59D96" w14:textId="77D85BC5" w:rsidR="002A1254" w:rsidRPr="00F6676A" w:rsidRDefault="002A1254" w:rsidP="00F6676A">
            <w:pPr>
              <w:suppressAutoHyphens w:val="0"/>
              <w:autoSpaceDN/>
              <w:spacing w:before="60" w:after="120" w:line="240" w:lineRule="auto"/>
              <w:ind w:left="57" w:right="57"/>
              <w:rPr>
                <w:rFonts w:cs="Arial"/>
                <w:color w:val="auto"/>
              </w:rPr>
            </w:pPr>
            <w:r>
              <w:rPr>
                <w:rFonts w:cs="Arial"/>
                <w:color w:val="auto"/>
              </w:rPr>
              <w:t>Leuven Scale assessment has indicated that ou</w:t>
            </w:r>
            <w:r w:rsidR="002A4EB3">
              <w:rPr>
                <w:rFonts w:cs="Arial"/>
                <w:color w:val="auto"/>
              </w:rPr>
              <w:t>r</w:t>
            </w:r>
            <w:r>
              <w:rPr>
                <w:rFonts w:cs="Arial"/>
                <w:color w:val="auto"/>
              </w:rPr>
              <w:t xml:space="preserve"> PPG pupils are </w:t>
            </w:r>
            <w:r w:rsidR="002A4EB3">
              <w:rPr>
                <w:rFonts w:cs="Arial"/>
                <w:color w:val="auto"/>
              </w:rPr>
              <w:t xml:space="preserve">displaying lower levels of engagement and participation in lessons. Class room observations have shown that these children have low learning behaviour and need support in developing resilience and strategies to work indepenently. </w:t>
            </w:r>
          </w:p>
          <w:p w14:paraId="2A7D54F4" w14:textId="1EF24DE3" w:rsidR="00C00AFB" w:rsidRDefault="00C00AFB">
            <w:pPr>
              <w:pStyle w:val="TableRowCentered"/>
              <w:jc w:val="left"/>
              <w:rPr>
                <w:sz w:val="22"/>
                <w:szCs w:val="22"/>
              </w:rPr>
            </w:pP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333E6F63" w:rsidR="00E66558" w:rsidRDefault="00F6676A">
            <w:pPr>
              <w:pStyle w:val="TableRow"/>
              <w:rPr>
                <w:sz w:val="22"/>
                <w:szCs w:val="22"/>
              </w:rPr>
            </w:pPr>
            <w:r>
              <w:rPr>
                <w:sz w:val="22"/>
                <w:szCs w:val="22"/>
              </w:rPr>
              <w:t>4</w:t>
            </w:r>
            <w:r w:rsidR="006C3B36">
              <w:rPr>
                <w:sz w:val="22"/>
                <w:szCs w:val="22"/>
              </w:rPr>
              <w:t>.</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D1E2A" w14:textId="221365DA" w:rsidR="00E66558" w:rsidRPr="0039714C" w:rsidRDefault="00BF458A">
            <w:pPr>
              <w:pStyle w:val="TableRowCentered"/>
              <w:jc w:val="left"/>
              <w:rPr>
                <w:sz w:val="22"/>
                <w:szCs w:val="22"/>
                <w:u w:val="single"/>
              </w:rPr>
            </w:pPr>
            <w:r w:rsidRPr="0039714C">
              <w:rPr>
                <w:sz w:val="22"/>
                <w:szCs w:val="22"/>
                <w:u w:val="single"/>
              </w:rPr>
              <w:t>SEMH</w:t>
            </w:r>
            <w:r w:rsidR="0039714C" w:rsidRPr="0039714C">
              <w:rPr>
                <w:sz w:val="22"/>
                <w:szCs w:val="22"/>
                <w:u w:val="single"/>
              </w:rPr>
              <w:t xml:space="preserve"> difficulties</w:t>
            </w:r>
            <w:r w:rsidRPr="0039714C">
              <w:rPr>
                <w:sz w:val="22"/>
                <w:szCs w:val="22"/>
                <w:u w:val="single"/>
              </w:rPr>
              <w:t xml:space="preserve"> from Lockdown</w:t>
            </w:r>
          </w:p>
          <w:p w14:paraId="72F33368" w14:textId="77777777" w:rsidR="00BF458A" w:rsidRDefault="00BF458A">
            <w:pPr>
              <w:pStyle w:val="TableRowCentered"/>
              <w:jc w:val="left"/>
              <w:rPr>
                <w:sz w:val="22"/>
                <w:szCs w:val="22"/>
              </w:rPr>
            </w:pPr>
          </w:p>
          <w:p w14:paraId="40C4662A" w14:textId="30D9456C" w:rsidR="00BF458A" w:rsidRPr="00E27862" w:rsidRDefault="00BF458A" w:rsidP="00BF458A">
            <w:pPr>
              <w:suppressAutoHyphens w:val="0"/>
              <w:autoSpaceDN/>
              <w:spacing w:before="60" w:line="240" w:lineRule="auto"/>
              <w:ind w:left="57" w:right="57"/>
              <w:rPr>
                <w:rFonts w:cs="Arial"/>
                <w:iCs/>
                <w:color w:val="auto"/>
                <w:lang w:val="en-US"/>
              </w:rPr>
            </w:pPr>
            <w:r w:rsidRPr="00E27862">
              <w:rPr>
                <w:rFonts w:cs="Arial"/>
                <w:iCs/>
                <w:color w:val="auto"/>
                <w:lang w:val="en-US"/>
              </w:rPr>
              <w:t xml:space="preserve">Our assessments (including </w:t>
            </w:r>
            <w:r w:rsidR="0039714C">
              <w:rPr>
                <w:rFonts w:cs="Arial"/>
                <w:iCs/>
                <w:color w:val="auto"/>
                <w:lang w:val="en-US"/>
              </w:rPr>
              <w:t>Leuven Scale survey)</w:t>
            </w:r>
            <w:r w:rsidRPr="00E27862">
              <w:rPr>
                <w:rFonts w:cs="Arial"/>
                <w:iCs/>
                <w:color w:val="auto"/>
                <w:lang w:val="en-US"/>
              </w:rPr>
              <w:t xml:space="preserve"> observations and discussions with pupils and families have identified social and emotional </w:t>
            </w:r>
            <w:r w:rsidRPr="00E27862">
              <w:rPr>
                <w:rFonts w:cs="Arial"/>
                <w:iCs/>
                <w:color w:val="auto"/>
                <w:lang w:val="en-US"/>
              </w:rPr>
              <w:lastRenderedPageBreak/>
              <w:t>issues for many pupils</w:t>
            </w:r>
            <w:r w:rsidR="0039714C">
              <w:rPr>
                <w:rFonts w:cs="Arial"/>
                <w:iCs/>
                <w:color w:val="auto"/>
                <w:lang w:val="en-US"/>
              </w:rPr>
              <w:t>.</w:t>
            </w:r>
            <w:r w:rsidRPr="00E27862">
              <w:rPr>
                <w:rFonts w:cs="Arial"/>
                <w:iCs/>
                <w:color w:val="auto"/>
                <w:lang w:val="en-US"/>
              </w:rPr>
              <w:t xml:space="preserve"> These challenges particularly affect disadvantaged pupils, including their attainment.</w:t>
            </w:r>
          </w:p>
          <w:p w14:paraId="6AE6174F" w14:textId="0E971C55" w:rsidR="00F05468" w:rsidRPr="006C3B36" w:rsidRDefault="00BF458A" w:rsidP="006C3B36">
            <w:pPr>
              <w:pStyle w:val="TableRowCentered"/>
              <w:jc w:val="left"/>
              <w:rPr>
                <w:rFonts w:cs="Arial"/>
                <w:color w:val="auto"/>
                <w:lang w:eastAsia="en-US"/>
              </w:rPr>
            </w:pPr>
            <w:r w:rsidRPr="00E27862">
              <w:rPr>
                <w:rFonts w:cs="Arial"/>
                <w:color w:val="auto"/>
                <w:lang w:eastAsia="en-US"/>
              </w:rPr>
              <w:t>Teacher referrals for support have markedly increased during the pandemic</w:t>
            </w:r>
            <w:r w:rsidR="006C3B36">
              <w:rPr>
                <w:rFonts w:cs="Arial"/>
                <w:color w:val="auto"/>
                <w:lang w:eastAsia="en-US"/>
              </w:rPr>
              <w:t xml:space="preserve"> as have referral for the Emotional Health and Wellbeing Panel. (5 referrals have been made this term already, compared with just 1 the previous Autumn Term). </w:t>
            </w:r>
          </w:p>
          <w:p w14:paraId="2A7D54F7" w14:textId="049BDFD1" w:rsidR="00F05468" w:rsidRDefault="00F05468">
            <w:pPr>
              <w:pStyle w:val="TableRowCentered"/>
              <w:jc w:val="left"/>
              <w:rPr>
                <w:sz w:val="22"/>
                <w:szCs w:val="22"/>
              </w:rPr>
            </w:pPr>
          </w:p>
        </w:tc>
      </w:tr>
      <w:tr w:rsidR="00F05468" w14:paraId="27BFB96A"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CC41A" w14:textId="2ADE7515" w:rsidR="00F05468" w:rsidRDefault="006C3B36">
            <w:pPr>
              <w:pStyle w:val="TableRow"/>
              <w:rPr>
                <w:sz w:val="22"/>
                <w:szCs w:val="22"/>
              </w:rPr>
            </w:pPr>
            <w:bookmarkStart w:id="16" w:name="_Toc443397160"/>
            <w:r>
              <w:rPr>
                <w:sz w:val="22"/>
                <w:szCs w:val="22"/>
              </w:rPr>
              <w:lastRenderedPageBreak/>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EF356" w14:textId="4EF1C6F6" w:rsidR="00905E28" w:rsidRPr="006C3B36" w:rsidRDefault="00905E28" w:rsidP="004004C4">
            <w:pPr>
              <w:pStyle w:val="TableRowCentered"/>
              <w:tabs>
                <w:tab w:val="left" w:pos="2041"/>
              </w:tabs>
              <w:jc w:val="left"/>
              <w:rPr>
                <w:iCs/>
                <w:sz w:val="22"/>
                <w:u w:val="single"/>
              </w:rPr>
            </w:pPr>
            <w:r w:rsidRPr="006C3B36">
              <w:rPr>
                <w:iCs/>
                <w:sz w:val="22"/>
                <w:u w:val="single"/>
              </w:rPr>
              <w:t>Oral lang</w:t>
            </w:r>
            <w:r w:rsidR="006C3B36">
              <w:rPr>
                <w:iCs/>
                <w:sz w:val="22"/>
                <w:u w:val="single"/>
              </w:rPr>
              <w:t>uage</w:t>
            </w:r>
          </w:p>
          <w:p w14:paraId="22D96639" w14:textId="77777777" w:rsidR="004004C4" w:rsidRDefault="004004C4" w:rsidP="004004C4">
            <w:pPr>
              <w:pStyle w:val="TableRowCentered"/>
              <w:tabs>
                <w:tab w:val="left" w:pos="2041"/>
              </w:tabs>
              <w:jc w:val="left"/>
              <w:rPr>
                <w:iCs/>
                <w:sz w:val="22"/>
              </w:rPr>
            </w:pPr>
          </w:p>
          <w:p w14:paraId="00219148" w14:textId="3192B14D" w:rsidR="00666E73" w:rsidRPr="00E75903" w:rsidRDefault="004004C4" w:rsidP="00E75903">
            <w:pPr>
              <w:pStyle w:val="TableRowCentered"/>
              <w:tabs>
                <w:tab w:val="left" w:pos="2041"/>
              </w:tabs>
              <w:jc w:val="left"/>
              <w:rPr>
                <w:rFonts w:cs="Arial"/>
                <w:iCs/>
                <w:color w:val="auto"/>
                <w:lang w:val="en-US"/>
              </w:rPr>
            </w:pPr>
            <w:r w:rsidRPr="00E27862">
              <w:rPr>
                <w:rFonts w:cs="Arial"/>
                <w:iCs/>
                <w:color w:val="auto"/>
                <w:lang w:val="en-US"/>
              </w:rPr>
              <w:t>Assessments, observations, and discussions with pupils indicate underdeveloped oral language skills and vocabulary gaps among many disadvantaged</w:t>
            </w:r>
            <w:r w:rsidR="006C3B36">
              <w:rPr>
                <w:rFonts w:cs="Arial"/>
                <w:iCs/>
                <w:color w:val="auto"/>
                <w:lang w:val="en-US"/>
              </w:rPr>
              <w:t xml:space="preserve"> pupils.</w:t>
            </w:r>
          </w:p>
          <w:p w14:paraId="766BFC6C" w14:textId="4511EA1B" w:rsidR="00905E28" w:rsidRDefault="00905E28" w:rsidP="00905E28">
            <w:pPr>
              <w:pStyle w:val="TableRowCentered"/>
              <w:jc w:val="left"/>
              <w:rPr>
                <w:iCs/>
                <w:sz w:val="22"/>
              </w:rPr>
            </w:pPr>
          </w:p>
        </w:tc>
      </w:tr>
      <w:tr w:rsidR="00F05468" w14:paraId="2C97392D"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EEF50" w14:textId="76A3B1FF" w:rsidR="00F05468" w:rsidRDefault="00E75903" w:rsidP="00E75903">
            <w:pPr>
              <w:pStyle w:val="TableRow"/>
              <w:ind w:left="0"/>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08328" w14:textId="63A8B288" w:rsidR="00F05468" w:rsidRPr="00E75903" w:rsidRDefault="00905E28" w:rsidP="00B90E7E">
            <w:pPr>
              <w:pStyle w:val="TableRowCentered"/>
              <w:tabs>
                <w:tab w:val="left" w:pos="1503"/>
              </w:tabs>
              <w:jc w:val="left"/>
              <w:rPr>
                <w:iCs/>
                <w:sz w:val="22"/>
                <w:u w:val="single"/>
              </w:rPr>
            </w:pPr>
            <w:r w:rsidRPr="00E75903">
              <w:rPr>
                <w:iCs/>
                <w:sz w:val="22"/>
                <w:u w:val="single"/>
              </w:rPr>
              <w:t>Phonics</w:t>
            </w:r>
          </w:p>
          <w:p w14:paraId="5DE4AC17" w14:textId="77777777" w:rsidR="00BB0416" w:rsidRDefault="00BB0416" w:rsidP="00B90E7E">
            <w:pPr>
              <w:pStyle w:val="TableRowCentered"/>
              <w:tabs>
                <w:tab w:val="left" w:pos="1503"/>
              </w:tabs>
              <w:jc w:val="left"/>
              <w:rPr>
                <w:iCs/>
                <w:sz w:val="22"/>
              </w:rPr>
            </w:pPr>
          </w:p>
          <w:p w14:paraId="12D2490B" w14:textId="77777777" w:rsidR="00905E28" w:rsidRDefault="00275BD5" w:rsidP="00275BD5">
            <w:pPr>
              <w:pStyle w:val="TableRowCentered"/>
              <w:tabs>
                <w:tab w:val="left" w:pos="1503"/>
              </w:tabs>
              <w:jc w:val="left"/>
              <w:rPr>
                <w:color w:val="auto"/>
                <w:lang w:val="en-US"/>
              </w:rPr>
            </w:pPr>
            <w:r w:rsidRPr="00E27862">
              <w:rPr>
                <w:color w:val="auto"/>
                <w:lang w:val="en-US"/>
              </w:rPr>
              <w:t>Assessments, observations, and discussions with pupils suggest disadvantaged pupils generally have greater difficulties with phonics than their peers. This negatively impacts their development as readers.</w:t>
            </w:r>
          </w:p>
          <w:p w14:paraId="2B4FB9CA" w14:textId="7E2CAC13" w:rsidR="00275BD5" w:rsidRPr="00275BD5" w:rsidRDefault="00275BD5" w:rsidP="00275BD5">
            <w:pPr>
              <w:pStyle w:val="TableRowCentered"/>
              <w:tabs>
                <w:tab w:val="left" w:pos="1503"/>
              </w:tabs>
              <w:jc w:val="left"/>
              <w:rPr>
                <w:rFonts w:cs="Arial"/>
                <w:iCs/>
                <w:color w:val="auto"/>
                <w:lang w:val="en-US"/>
              </w:rPr>
            </w:pPr>
          </w:p>
        </w:tc>
      </w:tr>
      <w:tr w:rsidR="00B90E7E" w14:paraId="6DFCCE9D"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265A7" w14:textId="77777777" w:rsidR="00B90E7E" w:rsidRDefault="00275BD5">
            <w:pPr>
              <w:pStyle w:val="TableRow"/>
              <w:rPr>
                <w:sz w:val="22"/>
                <w:szCs w:val="22"/>
              </w:rPr>
            </w:pPr>
            <w:r>
              <w:rPr>
                <w:sz w:val="22"/>
                <w:szCs w:val="22"/>
              </w:rPr>
              <w:t>7.</w:t>
            </w:r>
          </w:p>
          <w:p w14:paraId="75FFBCAF" w14:textId="77777777" w:rsidR="00275BD5" w:rsidRDefault="00275BD5">
            <w:pPr>
              <w:pStyle w:val="TableRow"/>
              <w:rPr>
                <w:sz w:val="22"/>
                <w:szCs w:val="22"/>
              </w:rPr>
            </w:pPr>
          </w:p>
          <w:p w14:paraId="3BE0272C" w14:textId="52327D5A" w:rsidR="00275BD5" w:rsidRDefault="00275BD5">
            <w:pPr>
              <w:pStyle w:val="TableRow"/>
              <w:rPr>
                <w:sz w:val="22"/>
                <w:szCs w:val="22"/>
              </w:rPr>
            </w:pP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53D3F" w14:textId="6A6F2FC1" w:rsidR="00B90E7E" w:rsidRPr="00275BD5" w:rsidRDefault="00B90E7E" w:rsidP="00B90E7E">
            <w:pPr>
              <w:pStyle w:val="TableRowCentered"/>
              <w:tabs>
                <w:tab w:val="left" w:pos="1503"/>
              </w:tabs>
              <w:jc w:val="left"/>
              <w:rPr>
                <w:iCs/>
                <w:sz w:val="22"/>
                <w:u w:val="single"/>
              </w:rPr>
            </w:pPr>
            <w:r w:rsidRPr="00275BD5">
              <w:rPr>
                <w:iCs/>
                <w:sz w:val="22"/>
                <w:u w:val="single"/>
              </w:rPr>
              <w:t>Attendance</w:t>
            </w:r>
            <w:r w:rsidR="006B2B50" w:rsidRPr="00275BD5">
              <w:rPr>
                <w:iCs/>
                <w:sz w:val="22"/>
                <w:u w:val="single"/>
              </w:rPr>
              <w:t xml:space="preserve"> </w:t>
            </w:r>
          </w:p>
          <w:p w14:paraId="1893FF2D" w14:textId="77777777" w:rsidR="00B90E7E" w:rsidRDefault="00B90E7E" w:rsidP="00B90E7E">
            <w:pPr>
              <w:pStyle w:val="TableRowCentered"/>
              <w:tabs>
                <w:tab w:val="left" w:pos="1503"/>
              </w:tabs>
              <w:jc w:val="left"/>
              <w:rPr>
                <w:iCs/>
                <w:sz w:val="22"/>
              </w:rPr>
            </w:pPr>
          </w:p>
          <w:p w14:paraId="00B12456" w14:textId="31FFE3A6" w:rsidR="00B90E7E" w:rsidRPr="00544A13" w:rsidRDefault="00B90E7E" w:rsidP="00B90E7E">
            <w:pPr>
              <w:suppressAutoHyphens w:val="0"/>
              <w:autoSpaceDN/>
              <w:spacing w:before="60" w:after="120" w:line="240" w:lineRule="auto"/>
              <w:ind w:left="57" w:right="57"/>
              <w:rPr>
                <w:rFonts w:cs="Arial"/>
                <w:iCs/>
                <w:color w:val="auto"/>
                <w:lang w:val="en-US"/>
              </w:rPr>
            </w:pPr>
            <w:r w:rsidRPr="00E27862">
              <w:rPr>
                <w:rFonts w:cs="Arial"/>
                <w:iCs/>
                <w:color w:val="auto"/>
                <w:lang w:val="en-US"/>
              </w:rPr>
              <w:t xml:space="preserve">Our </w:t>
            </w:r>
            <w:r w:rsidRPr="00544A13">
              <w:rPr>
                <w:rFonts w:cs="Arial"/>
                <w:iCs/>
                <w:color w:val="auto"/>
                <w:lang w:val="en-US"/>
              </w:rPr>
              <w:t xml:space="preserve">attendance data over the last year indicates that attendance among disadvantaged pupils has been </w:t>
            </w:r>
            <w:r w:rsidR="0008404A" w:rsidRPr="00544A13">
              <w:rPr>
                <w:rFonts w:cs="Arial"/>
                <w:iCs/>
                <w:color w:val="auto"/>
                <w:lang w:val="en-US"/>
              </w:rPr>
              <w:t xml:space="preserve">broadly in line with whole school attendance but below national. </w:t>
            </w:r>
            <w:r w:rsidRPr="00544A13">
              <w:rPr>
                <w:rFonts w:cs="Arial"/>
                <w:iCs/>
                <w:color w:val="auto"/>
                <w:lang w:val="en-US"/>
              </w:rPr>
              <w:t xml:space="preserve"> </w:t>
            </w:r>
          </w:p>
          <w:p w14:paraId="18314927" w14:textId="77777777" w:rsidR="0008404A" w:rsidRPr="00544A13" w:rsidRDefault="0008404A" w:rsidP="0008404A">
            <w:pPr>
              <w:spacing w:after="0" w:line="240" w:lineRule="auto"/>
              <w:rPr>
                <w:rFonts w:ascii="Comic Sans MS" w:hAnsi="Comic Sans MS" w:cs="Arial"/>
              </w:rPr>
            </w:pPr>
            <w:r w:rsidRPr="00544A13">
              <w:rPr>
                <w:rFonts w:ascii="Comic Sans MS" w:hAnsi="Comic Sans MS" w:cs="Arial"/>
              </w:rPr>
              <w:t>% of pupils whose attendance is below 90% =11% (30/278)</w:t>
            </w:r>
          </w:p>
          <w:p w14:paraId="35D02E2B" w14:textId="77777777" w:rsidR="0008404A" w:rsidRPr="00FF0E27" w:rsidRDefault="0008404A" w:rsidP="0008404A">
            <w:pPr>
              <w:spacing w:after="0" w:line="240" w:lineRule="auto"/>
              <w:rPr>
                <w:rFonts w:ascii="Comic Sans MS" w:hAnsi="Comic Sans MS" w:cs="Arial"/>
              </w:rPr>
            </w:pPr>
            <w:r w:rsidRPr="00544A13">
              <w:rPr>
                <w:rFonts w:ascii="Comic Sans MS" w:hAnsi="Comic Sans MS" w:cs="Arial"/>
              </w:rPr>
              <w:t>PPG pupils whose attendance is below 90% =</w:t>
            </w:r>
            <w:r w:rsidRPr="00FF0E27">
              <w:rPr>
                <w:rFonts w:ascii="Comic Sans MS" w:hAnsi="Comic Sans MS" w:cs="Arial"/>
              </w:rPr>
              <w:t xml:space="preserve"> 13% (10/78)</w:t>
            </w:r>
          </w:p>
          <w:p w14:paraId="40CD1F29" w14:textId="77777777" w:rsidR="0008404A" w:rsidRDefault="0008404A" w:rsidP="00B90E7E">
            <w:pPr>
              <w:suppressAutoHyphens w:val="0"/>
              <w:autoSpaceDN/>
              <w:spacing w:before="60" w:after="120" w:line="240" w:lineRule="auto"/>
              <w:ind w:left="57" w:right="57"/>
              <w:rPr>
                <w:rFonts w:cs="Arial"/>
                <w:iCs/>
                <w:color w:val="auto"/>
                <w:lang w:val="en-US"/>
              </w:rPr>
            </w:pPr>
          </w:p>
          <w:p w14:paraId="4B49F4D4" w14:textId="14D190A1" w:rsidR="00275BD5" w:rsidRDefault="00275BD5" w:rsidP="00275BD5">
            <w:pPr>
              <w:suppressAutoHyphens w:val="0"/>
              <w:autoSpaceDN/>
              <w:spacing w:before="60" w:after="120" w:line="240" w:lineRule="auto"/>
              <w:ind w:right="57"/>
              <w:rPr>
                <w:rFonts w:cs="Arial"/>
                <w:iCs/>
                <w:color w:val="auto"/>
                <w:lang w:val="en-US"/>
              </w:rPr>
            </w:pPr>
            <w:r>
              <w:rPr>
                <w:rFonts w:cs="Arial"/>
                <w:iCs/>
                <w:color w:val="auto"/>
                <w:lang w:val="en-US"/>
              </w:rPr>
              <w:t>Since retuning to school in September</w:t>
            </w:r>
            <w:r w:rsidR="0008404A">
              <w:rPr>
                <w:rFonts w:cs="Arial"/>
                <w:iCs/>
                <w:color w:val="auto"/>
                <w:lang w:val="en-US"/>
              </w:rPr>
              <w:t xml:space="preserve"> 2021</w:t>
            </w:r>
            <w:r>
              <w:rPr>
                <w:rFonts w:cs="Arial"/>
                <w:iCs/>
                <w:color w:val="auto"/>
                <w:lang w:val="en-US"/>
              </w:rPr>
              <w:t>, there are 4 school refusers on roll, 2 of which are PPG.</w:t>
            </w:r>
          </w:p>
          <w:p w14:paraId="46A628D6" w14:textId="088F9499" w:rsidR="0008404A" w:rsidRPr="00E27862" w:rsidRDefault="0008404A" w:rsidP="00275BD5">
            <w:pPr>
              <w:suppressAutoHyphens w:val="0"/>
              <w:autoSpaceDN/>
              <w:spacing w:before="60" w:after="120" w:line="240" w:lineRule="auto"/>
              <w:ind w:right="57"/>
              <w:rPr>
                <w:rFonts w:cs="Arial"/>
                <w:iCs/>
                <w:color w:val="auto"/>
                <w:lang w:val="en-US"/>
              </w:rPr>
            </w:pPr>
            <w:r>
              <w:rPr>
                <w:rFonts w:cs="Arial"/>
                <w:iCs/>
                <w:color w:val="auto"/>
                <w:lang w:val="en-US"/>
              </w:rPr>
              <w:t>PPG attendance has fallen and the gap between non PPG and PP</w:t>
            </w:r>
            <w:r w:rsidR="00BC6B83">
              <w:rPr>
                <w:rFonts w:cs="Arial"/>
                <w:iCs/>
                <w:color w:val="auto"/>
                <w:lang w:val="en-US"/>
              </w:rPr>
              <w:t>G</w:t>
            </w:r>
            <w:r>
              <w:rPr>
                <w:rFonts w:cs="Arial"/>
                <w:iCs/>
                <w:color w:val="auto"/>
                <w:lang w:val="en-US"/>
              </w:rPr>
              <w:t xml:space="preserve"> has </w:t>
            </w:r>
            <w:r w:rsidR="00BC6B83">
              <w:rPr>
                <w:rFonts w:cs="Arial"/>
                <w:iCs/>
                <w:color w:val="auto"/>
                <w:lang w:val="en-US"/>
              </w:rPr>
              <w:t>grown</w:t>
            </w:r>
            <w:r>
              <w:rPr>
                <w:rFonts w:cs="Arial"/>
                <w:iCs/>
                <w:color w:val="auto"/>
                <w:lang w:val="en-US"/>
              </w:rPr>
              <w:t xml:space="preserve">. However this is due to bubble closures and stepped up </w:t>
            </w:r>
            <w:r w:rsidR="00BC6B83">
              <w:rPr>
                <w:rFonts w:cs="Arial"/>
                <w:iCs/>
                <w:color w:val="auto"/>
                <w:lang w:val="en-US"/>
              </w:rPr>
              <w:t>measures</w:t>
            </w:r>
            <w:r>
              <w:rPr>
                <w:rFonts w:cs="Arial"/>
                <w:iCs/>
                <w:color w:val="auto"/>
                <w:lang w:val="en-US"/>
              </w:rPr>
              <w:t xml:space="preserve"> where pupils have been sent home for testing. </w:t>
            </w:r>
          </w:p>
          <w:p w14:paraId="54DB71D0" w14:textId="77777777" w:rsidR="0008404A" w:rsidRPr="00213462" w:rsidRDefault="0008404A" w:rsidP="0008404A">
            <w:pPr>
              <w:spacing w:after="0" w:line="240" w:lineRule="auto"/>
              <w:rPr>
                <w:rFonts w:ascii="Comic Sans MS" w:hAnsi="Comic Sans MS" w:cs="Arial"/>
              </w:rPr>
            </w:pPr>
            <w:r w:rsidRPr="17995F11">
              <w:rPr>
                <w:rFonts w:ascii="Comic Sans MS" w:hAnsi="Comic Sans MS" w:cs="Arial"/>
              </w:rPr>
              <w:t>% of pupils whose attendance is below 90% =25.8% (70/271)</w:t>
            </w:r>
          </w:p>
          <w:p w14:paraId="01AA146E" w14:textId="074479AB" w:rsidR="0008404A" w:rsidRDefault="0008404A" w:rsidP="0008404A">
            <w:pPr>
              <w:spacing w:after="0" w:line="240" w:lineRule="auto"/>
              <w:rPr>
                <w:rFonts w:ascii="Comic Sans MS" w:hAnsi="Comic Sans MS" w:cs="Arial"/>
              </w:rPr>
            </w:pPr>
            <w:r w:rsidRPr="17995F11">
              <w:rPr>
                <w:rFonts w:ascii="Comic Sans MS" w:hAnsi="Comic Sans MS" w:cs="Arial"/>
              </w:rPr>
              <w:t>PPG pupils whose attendance is below 90% = 31.8% (22/69)</w:t>
            </w:r>
          </w:p>
          <w:p w14:paraId="270A6543" w14:textId="77777777" w:rsidR="0008404A" w:rsidRDefault="0008404A" w:rsidP="00B90E7E">
            <w:pPr>
              <w:pStyle w:val="TableRowCentered"/>
              <w:tabs>
                <w:tab w:val="left" w:pos="1503"/>
              </w:tabs>
              <w:jc w:val="left"/>
              <w:rPr>
                <w:rFonts w:cs="Arial"/>
                <w:iCs/>
                <w:color w:val="auto"/>
                <w:lang w:val="en-US"/>
              </w:rPr>
            </w:pPr>
          </w:p>
          <w:p w14:paraId="3A3F2693" w14:textId="476D2A99" w:rsidR="00275BD5" w:rsidRDefault="00B90E7E" w:rsidP="00B90E7E">
            <w:pPr>
              <w:pStyle w:val="TableRowCentered"/>
              <w:tabs>
                <w:tab w:val="left" w:pos="1503"/>
              </w:tabs>
              <w:jc w:val="left"/>
              <w:rPr>
                <w:iCs/>
                <w:sz w:val="22"/>
              </w:rPr>
            </w:pPr>
            <w:r w:rsidRPr="00E27862">
              <w:rPr>
                <w:rFonts w:cs="Arial"/>
                <w:iCs/>
                <w:color w:val="auto"/>
                <w:lang w:val="en-US"/>
              </w:rPr>
              <w:t>Our assessments and observations indicate that absenteeism is negatively impacting disadvantaged pupils’ progress.</w:t>
            </w:r>
          </w:p>
          <w:p w14:paraId="284A3936" w14:textId="77777777" w:rsidR="00275BD5" w:rsidRDefault="00275BD5" w:rsidP="00B90E7E">
            <w:pPr>
              <w:pStyle w:val="TableRowCentered"/>
              <w:tabs>
                <w:tab w:val="left" w:pos="1503"/>
              </w:tabs>
              <w:jc w:val="left"/>
              <w:rPr>
                <w:iCs/>
                <w:sz w:val="22"/>
              </w:rPr>
            </w:pPr>
          </w:p>
          <w:p w14:paraId="214BA4C5" w14:textId="184849F7" w:rsidR="00DD6DE2" w:rsidRDefault="00DD6DE2" w:rsidP="00B90E7E">
            <w:pPr>
              <w:pStyle w:val="TableRowCentered"/>
              <w:tabs>
                <w:tab w:val="left" w:pos="1503"/>
              </w:tabs>
              <w:jc w:val="left"/>
              <w:rPr>
                <w:iCs/>
                <w:sz w:val="22"/>
              </w:rPr>
            </w:pPr>
          </w:p>
        </w:tc>
      </w:tr>
    </w:tbl>
    <w:p w14:paraId="2A7D54FF" w14:textId="51D3EB68" w:rsidR="00E66558" w:rsidRDefault="009D71E8">
      <w:pPr>
        <w:pStyle w:val="Heading2"/>
        <w:spacing w:before="600"/>
      </w:pPr>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673"/>
        <w:gridCol w:w="4813"/>
      </w:tblGrid>
      <w:tr w:rsidR="00E66558" w14:paraId="2A7D5503" w14:textId="77777777" w:rsidTr="005171B7">
        <w:tc>
          <w:tcPr>
            <w:tcW w:w="467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81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5171B7">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006FD34C" w:rsidR="00E66558" w:rsidRPr="0071378C" w:rsidRDefault="00F05468">
            <w:pPr>
              <w:pStyle w:val="TableRow"/>
            </w:pPr>
            <w:r w:rsidRPr="0071378C">
              <w:rPr>
                <w:sz w:val="22"/>
                <w:szCs w:val="22"/>
              </w:rPr>
              <w:t>Close the gap for PPG children in reading, writing and maths.</w:t>
            </w:r>
            <w:r w:rsidR="00E0051D">
              <w:rPr>
                <w:sz w:val="22"/>
                <w:szCs w:val="22"/>
              </w:rPr>
              <w:t xml:space="preserve"> (1)</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1D5D49AB" w:rsidR="00E66558" w:rsidRDefault="00351269">
            <w:pPr>
              <w:pStyle w:val="TableRowCentered"/>
              <w:jc w:val="left"/>
              <w:rPr>
                <w:sz w:val="22"/>
                <w:szCs w:val="22"/>
              </w:rPr>
            </w:pPr>
            <w:r>
              <w:rPr>
                <w:sz w:val="22"/>
                <w:szCs w:val="22"/>
              </w:rPr>
              <w:t xml:space="preserve">KS2 reading, writing and maths outcomes </w:t>
            </w:r>
            <w:r w:rsidR="008B49DE">
              <w:rPr>
                <w:sz w:val="22"/>
                <w:szCs w:val="22"/>
              </w:rPr>
              <w:t xml:space="preserve">for disadvantaged pupils </w:t>
            </w:r>
            <w:r w:rsidR="00402401">
              <w:rPr>
                <w:sz w:val="22"/>
                <w:szCs w:val="22"/>
              </w:rPr>
              <w:t>are in-line with those of non-disadvantaged children in 2024/25</w:t>
            </w:r>
          </w:p>
        </w:tc>
      </w:tr>
      <w:tr w:rsidR="00E66558" w14:paraId="2A7D5509" w14:textId="77777777" w:rsidTr="005171B7">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36F7399E" w:rsidR="00E66558" w:rsidRPr="0071378C" w:rsidRDefault="00F05468">
            <w:pPr>
              <w:pStyle w:val="TableRow"/>
              <w:rPr>
                <w:sz w:val="22"/>
                <w:szCs w:val="22"/>
              </w:rPr>
            </w:pPr>
            <w:r w:rsidRPr="0071378C">
              <w:rPr>
                <w:sz w:val="22"/>
                <w:szCs w:val="22"/>
              </w:rPr>
              <w:t>Increase the number of PPG children achieving G</w:t>
            </w:r>
            <w:r w:rsidR="0071378C">
              <w:rPr>
                <w:sz w:val="22"/>
                <w:szCs w:val="22"/>
              </w:rPr>
              <w:t>reater Depth in reading, writing and maths.</w:t>
            </w:r>
            <w:r w:rsidR="00E0051D">
              <w:rPr>
                <w:sz w:val="22"/>
                <w:szCs w:val="22"/>
              </w:rPr>
              <w:t xml:space="preserve"> (2)</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385FC5D1" w:rsidR="00E66558" w:rsidRDefault="00402401">
            <w:pPr>
              <w:pStyle w:val="TableRowCentered"/>
              <w:jc w:val="left"/>
              <w:rPr>
                <w:sz w:val="22"/>
                <w:szCs w:val="22"/>
              </w:rPr>
            </w:pPr>
            <w:r>
              <w:rPr>
                <w:sz w:val="22"/>
                <w:szCs w:val="22"/>
              </w:rPr>
              <w:t>KS2 reading, writing and maths greater depth outcomes for disadvantaged pupils are in-line with those of non-disadvantaged children in 2024/25</w:t>
            </w:r>
          </w:p>
        </w:tc>
      </w:tr>
      <w:tr w:rsidR="00E66558" w14:paraId="2A7D550C" w14:textId="77777777" w:rsidTr="005171B7">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68C7BC83" w:rsidR="00081B0E" w:rsidRPr="0071378C" w:rsidRDefault="00243BAC" w:rsidP="00243BAC">
            <w:pPr>
              <w:pStyle w:val="TableRow"/>
              <w:rPr>
                <w:sz w:val="22"/>
                <w:szCs w:val="22"/>
              </w:rPr>
            </w:pPr>
            <w:r>
              <w:rPr>
                <w:sz w:val="22"/>
                <w:szCs w:val="22"/>
              </w:rPr>
              <w:t>All children to have greater aspirations for their futures.</w:t>
            </w:r>
            <w:r w:rsidR="00E0051D">
              <w:rPr>
                <w:sz w:val="22"/>
                <w:szCs w:val="22"/>
              </w:rPr>
              <w:t xml:space="preserve"> (3)</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A04F7" w14:textId="77777777" w:rsidR="00E66558" w:rsidRDefault="00E306E7">
            <w:pPr>
              <w:pStyle w:val="TableRowCentered"/>
              <w:jc w:val="left"/>
              <w:rPr>
                <w:sz w:val="22"/>
                <w:szCs w:val="22"/>
              </w:rPr>
            </w:pPr>
            <w:r>
              <w:rPr>
                <w:sz w:val="22"/>
                <w:szCs w:val="22"/>
              </w:rPr>
              <w:t>Sustained higher aspirations demonstrated by;</w:t>
            </w:r>
          </w:p>
          <w:p w14:paraId="604FDAF0" w14:textId="76623375" w:rsidR="00E306E7" w:rsidRDefault="00880540" w:rsidP="00E306E7">
            <w:pPr>
              <w:pStyle w:val="TableRowCentered"/>
              <w:numPr>
                <w:ilvl w:val="0"/>
                <w:numId w:val="14"/>
              </w:numPr>
              <w:jc w:val="left"/>
              <w:rPr>
                <w:sz w:val="22"/>
                <w:szCs w:val="22"/>
              </w:rPr>
            </w:pPr>
            <w:r>
              <w:rPr>
                <w:sz w:val="22"/>
                <w:szCs w:val="22"/>
              </w:rPr>
              <w:t>fewer children identified as having learned helplessness</w:t>
            </w:r>
          </w:p>
          <w:p w14:paraId="716D6136" w14:textId="77777777" w:rsidR="00880540" w:rsidRDefault="0072312C" w:rsidP="00E306E7">
            <w:pPr>
              <w:pStyle w:val="TableRowCentered"/>
              <w:numPr>
                <w:ilvl w:val="0"/>
                <w:numId w:val="14"/>
              </w:numPr>
              <w:jc w:val="left"/>
              <w:rPr>
                <w:sz w:val="22"/>
                <w:szCs w:val="22"/>
              </w:rPr>
            </w:pPr>
            <w:r>
              <w:rPr>
                <w:sz w:val="22"/>
                <w:szCs w:val="22"/>
              </w:rPr>
              <w:t>increased conversations in the classroom around aspirations</w:t>
            </w:r>
          </w:p>
          <w:p w14:paraId="2A7D550B" w14:textId="0C4E1B58" w:rsidR="0072312C" w:rsidRDefault="0072312C" w:rsidP="00E306E7">
            <w:pPr>
              <w:pStyle w:val="TableRowCentered"/>
              <w:numPr>
                <w:ilvl w:val="0"/>
                <w:numId w:val="14"/>
              </w:numPr>
              <w:jc w:val="left"/>
              <w:rPr>
                <w:sz w:val="22"/>
                <w:szCs w:val="22"/>
              </w:rPr>
            </w:pPr>
            <w:r>
              <w:rPr>
                <w:sz w:val="22"/>
                <w:szCs w:val="22"/>
              </w:rPr>
              <w:t xml:space="preserve">pupil voice surveys indicating </w:t>
            </w:r>
            <w:r w:rsidR="000A0C42">
              <w:rPr>
                <w:sz w:val="22"/>
                <w:szCs w:val="22"/>
              </w:rPr>
              <w:t>higher aspirations</w:t>
            </w:r>
          </w:p>
        </w:tc>
      </w:tr>
      <w:tr w:rsidR="00E66558" w14:paraId="2A7D550F" w14:textId="77777777" w:rsidTr="005171B7">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659E6519" w:rsidR="00F81DE6" w:rsidRPr="0071378C" w:rsidRDefault="0037545F" w:rsidP="0037545F">
            <w:pPr>
              <w:pStyle w:val="TableRow"/>
              <w:rPr>
                <w:sz w:val="22"/>
                <w:szCs w:val="22"/>
              </w:rPr>
            </w:pPr>
            <w:r>
              <w:rPr>
                <w:sz w:val="22"/>
                <w:szCs w:val="22"/>
              </w:rPr>
              <w:t>Children to have i</w:t>
            </w:r>
            <w:r w:rsidR="00852350" w:rsidRPr="0071378C">
              <w:rPr>
                <w:sz w:val="22"/>
                <w:szCs w:val="22"/>
              </w:rPr>
              <w:t>mproved language and vocabulary skills</w:t>
            </w:r>
            <w:r>
              <w:rPr>
                <w:sz w:val="22"/>
                <w:szCs w:val="22"/>
              </w:rPr>
              <w:t>.</w:t>
            </w:r>
            <w:r w:rsidR="00E0051D">
              <w:rPr>
                <w:sz w:val="22"/>
                <w:szCs w:val="22"/>
              </w:rPr>
              <w:t xml:space="preserve"> (4)</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C4A35" w14:textId="77777777" w:rsidR="00E66558" w:rsidRDefault="000A0C42">
            <w:pPr>
              <w:pStyle w:val="TableRowCentered"/>
              <w:jc w:val="left"/>
              <w:rPr>
                <w:sz w:val="22"/>
                <w:szCs w:val="22"/>
              </w:rPr>
            </w:pPr>
            <w:r>
              <w:rPr>
                <w:sz w:val="22"/>
                <w:szCs w:val="22"/>
              </w:rPr>
              <w:t xml:space="preserve">Significantly improved oral language amongst disadvantaged pupils </w:t>
            </w:r>
            <w:r w:rsidR="00F34DDC">
              <w:rPr>
                <w:sz w:val="22"/>
                <w:szCs w:val="22"/>
              </w:rPr>
              <w:t>demonstrated through;</w:t>
            </w:r>
          </w:p>
          <w:p w14:paraId="63E2D644" w14:textId="77777777" w:rsidR="00F34DDC" w:rsidRDefault="00F34DDC" w:rsidP="00F34DDC">
            <w:pPr>
              <w:pStyle w:val="TableRowCentered"/>
              <w:numPr>
                <w:ilvl w:val="0"/>
                <w:numId w:val="14"/>
              </w:numPr>
              <w:jc w:val="left"/>
              <w:rPr>
                <w:sz w:val="22"/>
                <w:szCs w:val="22"/>
              </w:rPr>
            </w:pPr>
            <w:r>
              <w:rPr>
                <w:sz w:val="22"/>
                <w:szCs w:val="22"/>
              </w:rPr>
              <w:t>book looks</w:t>
            </w:r>
          </w:p>
          <w:p w14:paraId="56988E78" w14:textId="77777777" w:rsidR="003D033A" w:rsidRDefault="003D033A" w:rsidP="00F34DDC">
            <w:pPr>
              <w:pStyle w:val="TableRowCentered"/>
              <w:numPr>
                <w:ilvl w:val="0"/>
                <w:numId w:val="14"/>
              </w:numPr>
              <w:jc w:val="left"/>
              <w:rPr>
                <w:sz w:val="22"/>
                <w:szCs w:val="22"/>
              </w:rPr>
            </w:pPr>
            <w:r>
              <w:rPr>
                <w:sz w:val="22"/>
                <w:szCs w:val="22"/>
              </w:rPr>
              <w:t>formative assessment</w:t>
            </w:r>
          </w:p>
          <w:p w14:paraId="2A7D550E" w14:textId="45804191" w:rsidR="003D033A" w:rsidRDefault="003D033A" w:rsidP="00F34DDC">
            <w:pPr>
              <w:pStyle w:val="TableRowCentered"/>
              <w:numPr>
                <w:ilvl w:val="0"/>
                <w:numId w:val="14"/>
              </w:numPr>
              <w:jc w:val="left"/>
              <w:rPr>
                <w:sz w:val="22"/>
                <w:szCs w:val="22"/>
              </w:rPr>
            </w:pPr>
            <w:r>
              <w:rPr>
                <w:sz w:val="22"/>
                <w:szCs w:val="22"/>
              </w:rPr>
              <w:t>language assessments for interventions</w:t>
            </w:r>
          </w:p>
        </w:tc>
      </w:tr>
      <w:tr w:rsidR="00852350" w14:paraId="46F1FBFC" w14:textId="77777777" w:rsidTr="005171B7">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B3C1B" w14:textId="30677B84" w:rsidR="00852350" w:rsidRPr="0071378C" w:rsidRDefault="0037545F">
            <w:pPr>
              <w:pStyle w:val="TableRow"/>
              <w:rPr>
                <w:sz w:val="22"/>
                <w:szCs w:val="22"/>
              </w:rPr>
            </w:pPr>
            <w:r>
              <w:rPr>
                <w:sz w:val="22"/>
                <w:szCs w:val="22"/>
              </w:rPr>
              <w:t>Children to have i</w:t>
            </w:r>
            <w:r w:rsidR="00852350" w:rsidRPr="0071378C">
              <w:rPr>
                <w:sz w:val="22"/>
                <w:szCs w:val="22"/>
              </w:rPr>
              <w:t>mproved reading attainment</w:t>
            </w:r>
            <w:r w:rsidR="00E0051D">
              <w:rPr>
                <w:sz w:val="22"/>
                <w:szCs w:val="22"/>
              </w:rPr>
              <w:t xml:space="preserve"> (5)</w:t>
            </w:r>
          </w:p>
          <w:p w14:paraId="74042882" w14:textId="22135F18" w:rsidR="00852350" w:rsidRPr="0071378C" w:rsidRDefault="00450EFE">
            <w:pPr>
              <w:pStyle w:val="TableRow"/>
              <w:rPr>
                <w:sz w:val="22"/>
                <w:szCs w:val="22"/>
              </w:rPr>
            </w:pPr>
            <w:r w:rsidRPr="0071378C">
              <w:rPr>
                <w:sz w:val="22"/>
                <w:szCs w:val="22"/>
              </w:rPr>
              <w:t>(phonics)</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2F5F1" w14:textId="2911B64C" w:rsidR="00852350" w:rsidRDefault="003D033A">
            <w:pPr>
              <w:pStyle w:val="TableRowCentered"/>
              <w:jc w:val="left"/>
              <w:rPr>
                <w:sz w:val="22"/>
                <w:szCs w:val="22"/>
              </w:rPr>
            </w:pPr>
            <w:r>
              <w:rPr>
                <w:sz w:val="22"/>
                <w:szCs w:val="22"/>
              </w:rPr>
              <w:t xml:space="preserve">End of KS2 reading attainment for disadvantaged children to be in line with that of non-disadvantaged children. </w:t>
            </w:r>
          </w:p>
        </w:tc>
      </w:tr>
      <w:tr w:rsidR="00852350" w14:paraId="08ECE518" w14:textId="77777777" w:rsidTr="005171B7">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03F49" w14:textId="7EE9EBC0" w:rsidR="00450EFE" w:rsidRPr="0071378C" w:rsidRDefault="001B68DF">
            <w:pPr>
              <w:pStyle w:val="TableRow"/>
              <w:rPr>
                <w:sz w:val="22"/>
                <w:szCs w:val="22"/>
              </w:rPr>
            </w:pPr>
            <w:r>
              <w:rPr>
                <w:sz w:val="22"/>
                <w:szCs w:val="22"/>
              </w:rPr>
              <w:t xml:space="preserve">Attendance data to be in line with Local </w:t>
            </w:r>
            <w:r w:rsidR="005171B7">
              <w:rPr>
                <w:sz w:val="22"/>
                <w:szCs w:val="22"/>
              </w:rPr>
              <w:t xml:space="preserve">and National </w:t>
            </w:r>
            <w:r>
              <w:rPr>
                <w:sz w:val="22"/>
                <w:szCs w:val="22"/>
              </w:rPr>
              <w:t>Average</w:t>
            </w:r>
            <w:r w:rsidR="005171B7">
              <w:rPr>
                <w:sz w:val="22"/>
                <w:szCs w:val="22"/>
              </w:rPr>
              <w:t>s</w:t>
            </w:r>
            <w:r>
              <w:rPr>
                <w:sz w:val="22"/>
                <w:szCs w:val="22"/>
              </w:rPr>
              <w:t>.</w:t>
            </w:r>
            <w:r w:rsidR="00E0051D">
              <w:rPr>
                <w:sz w:val="22"/>
                <w:szCs w:val="22"/>
              </w:rPr>
              <w:t xml:space="preserve"> (6)</w:t>
            </w: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2AC70" w14:textId="77777777" w:rsidR="00852350" w:rsidRDefault="00AD11E9">
            <w:pPr>
              <w:pStyle w:val="TableRowCentered"/>
              <w:jc w:val="left"/>
              <w:rPr>
                <w:sz w:val="22"/>
                <w:szCs w:val="22"/>
              </w:rPr>
            </w:pPr>
            <w:r>
              <w:rPr>
                <w:sz w:val="22"/>
                <w:szCs w:val="22"/>
              </w:rPr>
              <w:t>Sustained high attendance, demonstrated by:</w:t>
            </w:r>
          </w:p>
          <w:p w14:paraId="14B10326" w14:textId="2DC6C70A" w:rsidR="00AD11E9" w:rsidRDefault="00AD11E9" w:rsidP="00AD11E9">
            <w:pPr>
              <w:pStyle w:val="TableRowCentered"/>
              <w:numPr>
                <w:ilvl w:val="0"/>
                <w:numId w:val="14"/>
              </w:numPr>
              <w:jc w:val="left"/>
              <w:rPr>
                <w:sz w:val="22"/>
                <w:szCs w:val="22"/>
              </w:rPr>
            </w:pPr>
            <w:r>
              <w:rPr>
                <w:sz w:val="22"/>
                <w:szCs w:val="22"/>
              </w:rPr>
              <w:t xml:space="preserve">Overall absence rate to be </w:t>
            </w:r>
            <w:r w:rsidR="00534EAE">
              <w:rPr>
                <w:sz w:val="22"/>
                <w:szCs w:val="22"/>
              </w:rPr>
              <w:t>in-line for non-disadvantaged and disadvantaged pupils and lower than the national average</w:t>
            </w:r>
          </w:p>
          <w:p w14:paraId="4378B60D" w14:textId="45B3903B" w:rsidR="00534EAE" w:rsidRDefault="00534EAE" w:rsidP="00534EAE">
            <w:pPr>
              <w:pStyle w:val="TableRowCentered"/>
              <w:ind w:left="0"/>
              <w:jc w:val="left"/>
              <w:rPr>
                <w:sz w:val="22"/>
                <w:szCs w:val="22"/>
              </w:rPr>
            </w:pP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01FCC10F" w:rsidR="00E66558" w:rsidRDefault="009D71E8">
      <w:r w:rsidRPr="0084665B">
        <w:t xml:space="preserve">Budgeted cost: £ </w:t>
      </w:r>
      <w:r w:rsidR="0084665B" w:rsidRPr="0084665B">
        <w:t>43900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3FE236D8" w:rsidR="00E66558" w:rsidRPr="00C535C2" w:rsidRDefault="0046583B" w:rsidP="0046583B">
            <w:pPr>
              <w:pStyle w:val="TableRow"/>
              <w:ind w:left="0"/>
            </w:pPr>
            <w:r w:rsidRPr="00C535C2">
              <w:t>PPG Lead to</w:t>
            </w:r>
            <w:r w:rsidR="00563A51" w:rsidRPr="00C535C2">
              <w:t xml:space="preserve"> complete</w:t>
            </w:r>
            <w:r w:rsidRPr="00C535C2">
              <w:t xml:space="preserve"> </w:t>
            </w:r>
            <w:r w:rsidR="00563A51" w:rsidRPr="00C535C2">
              <w:t>‘Thinking Differently for Disadvantaged Learners’ and disseminate to all staff through Staff and TA Meetings half termly.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4E596" w14:textId="77777777" w:rsidR="00E66558" w:rsidRDefault="00F15D03">
            <w:pPr>
              <w:pStyle w:val="TableRowCentered"/>
              <w:jc w:val="left"/>
              <w:rPr>
                <w:sz w:val="22"/>
              </w:rPr>
            </w:pPr>
            <w:r>
              <w:rPr>
                <w:sz w:val="22"/>
              </w:rPr>
              <w:t>Module 1 (learned helplessness and aspirations)</w:t>
            </w:r>
          </w:p>
          <w:p w14:paraId="7272AEFA" w14:textId="77777777" w:rsidR="00713A23" w:rsidRDefault="00713A23">
            <w:pPr>
              <w:pStyle w:val="TableRowCentered"/>
              <w:jc w:val="left"/>
              <w:rPr>
                <w:sz w:val="22"/>
              </w:rPr>
            </w:pPr>
            <w:r>
              <w:rPr>
                <w:sz w:val="22"/>
              </w:rPr>
              <w:t>From EEF:</w:t>
            </w:r>
          </w:p>
          <w:p w14:paraId="2A7D551B" w14:textId="54F405C7" w:rsidR="00613C7F" w:rsidRPr="00F34519" w:rsidRDefault="00713A23" w:rsidP="00F34519">
            <w:pPr>
              <w:pStyle w:val="TableRowCentered"/>
              <w:numPr>
                <w:ilvl w:val="0"/>
                <w:numId w:val="14"/>
              </w:numPr>
              <w:jc w:val="left"/>
              <w:rPr>
                <w:sz w:val="22"/>
              </w:rPr>
            </w:pPr>
            <w:r>
              <w:rPr>
                <w:sz w:val="22"/>
              </w:rPr>
              <w:t xml:space="preserve">Aspiration </w:t>
            </w:r>
            <w:r w:rsidR="00613C7F">
              <w:rPr>
                <w:sz w:val="22"/>
              </w:rPr>
              <w:t xml:space="preserve">Interventions </w:t>
            </w:r>
            <w:r w:rsidR="00A44BFD">
              <w:rPr>
                <w:sz w:val="22"/>
              </w:rPr>
              <w:t>EEF</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750BB" w14:textId="77777777" w:rsidR="00E66558" w:rsidRDefault="00F15D03">
            <w:pPr>
              <w:pStyle w:val="TableRowCentered"/>
              <w:jc w:val="left"/>
              <w:rPr>
                <w:sz w:val="22"/>
              </w:rPr>
            </w:pPr>
            <w:r>
              <w:rPr>
                <w:sz w:val="22"/>
              </w:rPr>
              <w:t>1</w:t>
            </w:r>
          </w:p>
          <w:p w14:paraId="2A7D551C" w14:textId="3880D1F4" w:rsidR="00F15D03" w:rsidRDefault="00F15D03">
            <w:pPr>
              <w:pStyle w:val="TableRowCentered"/>
              <w:jc w:val="left"/>
              <w:rPr>
                <w:sz w:val="22"/>
              </w:rPr>
            </w:pPr>
            <w:r>
              <w:rPr>
                <w:sz w:val="22"/>
              </w:rPr>
              <w:t>5</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55ED6BA9" w:rsidR="00E66558" w:rsidRPr="00C535C2" w:rsidRDefault="0076225B">
            <w:pPr>
              <w:pStyle w:val="TableRow"/>
              <w:rPr>
                <w:iCs/>
              </w:rPr>
            </w:pPr>
            <w:r w:rsidRPr="00C535C2">
              <w:rPr>
                <w:iCs/>
              </w:rPr>
              <w:t>New training on RWI phonics</w:t>
            </w:r>
            <w:r w:rsidR="00094ED3" w:rsidRPr="00C535C2">
              <w:rPr>
                <w:iCs/>
              </w:rPr>
              <w:t xml:space="preserve"> and renewed </w:t>
            </w:r>
            <w:r w:rsidR="00040C00" w:rsidRPr="00C535C2">
              <w:rPr>
                <w:iCs/>
              </w:rPr>
              <w:t>management of data tracking for phonics.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C5CB7" w14:textId="77777777" w:rsidR="00711895" w:rsidRPr="00E27862" w:rsidRDefault="00711895" w:rsidP="00711895">
            <w:pPr>
              <w:pStyle w:val="TableRowCentered"/>
              <w:jc w:val="left"/>
              <w:rPr>
                <w:rFonts w:cs="Arial"/>
                <w:color w:val="auto"/>
                <w:szCs w:val="24"/>
              </w:rPr>
            </w:pPr>
            <w:r w:rsidRPr="00E27862">
              <w:rPr>
                <w:rFonts w:cs="Arial"/>
                <w:color w:val="auto"/>
                <w:szCs w:val="24"/>
              </w:rPr>
              <w:t xml:space="preserve">Phonics approaches have a strong evidence base that indicates a positive impact on the accuracy of word reading (though not necessarily comprehension), particularly for disadvantaged pupils: </w:t>
            </w:r>
          </w:p>
          <w:p w14:paraId="2A7D551F" w14:textId="0D712A90" w:rsidR="00E66558" w:rsidRDefault="00711895">
            <w:pPr>
              <w:pStyle w:val="TableRowCentered"/>
              <w:jc w:val="left"/>
              <w:rPr>
                <w:sz w:val="22"/>
              </w:rPr>
            </w:pPr>
            <w:r>
              <w:rPr>
                <w:sz w:val="22"/>
              </w:rPr>
              <w:t>(EEF)</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B41AA" w14:textId="77777777" w:rsidR="00E66558" w:rsidRDefault="00094ED3">
            <w:pPr>
              <w:pStyle w:val="TableRowCentered"/>
              <w:jc w:val="left"/>
              <w:rPr>
                <w:sz w:val="22"/>
              </w:rPr>
            </w:pPr>
            <w:r>
              <w:rPr>
                <w:sz w:val="22"/>
              </w:rPr>
              <w:t>1</w:t>
            </w:r>
          </w:p>
          <w:p w14:paraId="162A88AA" w14:textId="77777777" w:rsidR="00094ED3" w:rsidRDefault="00094ED3">
            <w:pPr>
              <w:pStyle w:val="TableRowCentered"/>
              <w:jc w:val="left"/>
              <w:rPr>
                <w:sz w:val="22"/>
              </w:rPr>
            </w:pPr>
            <w:r>
              <w:rPr>
                <w:sz w:val="22"/>
              </w:rPr>
              <w:t>3</w:t>
            </w:r>
          </w:p>
          <w:p w14:paraId="2A7D5520" w14:textId="78C9A7D0" w:rsidR="00094ED3" w:rsidRDefault="00094ED3">
            <w:pPr>
              <w:pStyle w:val="TableRowCentered"/>
              <w:jc w:val="left"/>
              <w:rPr>
                <w:sz w:val="22"/>
              </w:rPr>
            </w:pPr>
            <w:r>
              <w:rPr>
                <w:sz w:val="22"/>
              </w:rPr>
              <w:t>6</w:t>
            </w:r>
          </w:p>
        </w:tc>
      </w:tr>
      <w:tr w:rsidR="00711895" w14:paraId="0DDDCB0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E7DA3" w14:textId="77777777" w:rsidR="003B70F8" w:rsidRPr="00E27862" w:rsidRDefault="003B70F8" w:rsidP="003B70F8">
            <w:pPr>
              <w:spacing w:before="60" w:after="120" w:line="240" w:lineRule="auto"/>
              <w:ind w:left="28" w:right="57"/>
              <w:rPr>
                <w:rFonts w:cs="Arial"/>
                <w:color w:val="auto"/>
              </w:rPr>
            </w:pPr>
            <w:r w:rsidRPr="00E27862">
              <w:rPr>
                <w:color w:val="auto"/>
              </w:rPr>
              <w:t>Enhancement of our maths teaching and curriculum planning in line with DfE and EEF guidance.</w:t>
            </w:r>
          </w:p>
          <w:p w14:paraId="19B9E654" w14:textId="2A0256F1" w:rsidR="00711895" w:rsidRDefault="003B70F8" w:rsidP="003B70F8">
            <w:pPr>
              <w:pStyle w:val="TableRow"/>
              <w:rPr>
                <w:iCs/>
                <w:sz w:val="22"/>
              </w:rPr>
            </w:pPr>
            <w:r w:rsidRPr="00E27862">
              <w:rPr>
                <w:color w:val="auto"/>
              </w:rPr>
              <w:t xml:space="preserve">We will fund teacher release time to embed key elements of guidance in school and to access Maths Hub resources and </w:t>
            </w:r>
            <w:r w:rsidR="00102702">
              <w:rPr>
                <w:color w:val="auto"/>
              </w:rPr>
              <w:t>CPD.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EA3DE" w14:textId="77777777" w:rsidR="001E22CF" w:rsidRPr="00E27862" w:rsidRDefault="001E22CF" w:rsidP="001E22CF">
            <w:pPr>
              <w:suppressAutoHyphens w:val="0"/>
              <w:autoSpaceDN/>
              <w:spacing w:before="60" w:after="60" w:line="240" w:lineRule="auto"/>
              <w:ind w:left="57" w:right="57"/>
              <w:rPr>
                <w:rFonts w:cs="Arial"/>
                <w:iCs/>
                <w:color w:val="auto"/>
              </w:rPr>
            </w:pPr>
            <w:r w:rsidRPr="00E27862">
              <w:rPr>
                <w:rFonts w:cs="Arial"/>
                <w:iCs/>
                <w:color w:val="auto"/>
              </w:rPr>
              <w:t xml:space="preserve">The DfE non-statutory guidance has been produced in conjunction with the National Centre for Excellence in the Teaching of Mathematics, drawing on evidence-based approaches: </w:t>
            </w:r>
          </w:p>
          <w:p w14:paraId="1C3126CF" w14:textId="77777777" w:rsidR="001E22CF" w:rsidRPr="00D01A6D" w:rsidRDefault="006515BF" w:rsidP="001E22CF">
            <w:pPr>
              <w:suppressAutoHyphens w:val="0"/>
              <w:autoSpaceDN/>
              <w:spacing w:before="60" w:after="120" w:line="240" w:lineRule="auto"/>
              <w:ind w:left="57" w:right="57"/>
              <w:rPr>
                <w:rFonts w:cs="Arial"/>
                <w:iCs/>
                <w:color w:val="0070C0"/>
              </w:rPr>
            </w:pPr>
            <w:hyperlink r:id="rId10" w:history="1">
              <w:r w:rsidR="001E22CF" w:rsidRPr="00D01A6D">
                <w:rPr>
                  <w:color w:val="0070C0"/>
                  <w:u w:val="single"/>
                </w:rPr>
                <w:t>Maths_guidance_KS_1_and_2.pdf (publishing.service.gov.uk)</w:t>
              </w:r>
            </w:hyperlink>
          </w:p>
          <w:p w14:paraId="0BC5DAEB" w14:textId="77777777" w:rsidR="00711895" w:rsidRPr="00E27862" w:rsidRDefault="00711895" w:rsidP="00711895">
            <w:pPr>
              <w:pStyle w:val="TableRowCentered"/>
              <w:jc w:val="left"/>
              <w:rPr>
                <w:rFonts w:cs="Arial"/>
                <w:color w:val="auto"/>
                <w:szCs w:val="24"/>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91303" w14:textId="77777777" w:rsidR="00711895" w:rsidRDefault="001E22CF">
            <w:pPr>
              <w:pStyle w:val="TableRowCentered"/>
              <w:jc w:val="left"/>
              <w:rPr>
                <w:sz w:val="22"/>
              </w:rPr>
            </w:pPr>
            <w:r>
              <w:rPr>
                <w:sz w:val="22"/>
              </w:rPr>
              <w:t>1</w:t>
            </w:r>
          </w:p>
          <w:p w14:paraId="406C17E7" w14:textId="008B513B" w:rsidR="001E22CF" w:rsidRDefault="001E22CF">
            <w:pPr>
              <w:pStyle w:val="TableRowCentered"/>
              <w:jc w:val="left"/>
              <w:rPr>
                <w:sz w:val="22"/>
              </w:rPr>
            </w:pPr>
            <w:r>
              <w:rPr>
                <w:sz w:val="22"/>
              </w:rPr>
              <w:t>3</w:t>
            </w:r>
          </w:p>
        </w:tc>
      </w:tr>
      <w:tr w:rsidR="00C535C2" w14:paraId="611F680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C6FDC" w14:textId="3CB9A066" w:rsidR="00C535C2" w:rsidRPr="00E27862" w:rsidRDefault="00C535C2" w:rsidP="003B70F8">
            <w:pPr>
              <w:spacing w:before="60" w:after="120" w:line="240" w:lineRule="auto"/>
              <w:ind w:left="28" w:right="57"/>
              <w:rPr>
                <w:color w:val="auto"/>
              </w:rPr>
            </w:pPr>
            <w:r>
              <w:rPr>
                <w:color w:val="auto"/>
              </w:rPr>
              <w:t xml:space="preserve">Improve the quality of Social, Emotional and Mental Health support </w:t>
            </w:r>
            <w:r w:rsidR="006057A2">
              <w:rPr>
                <w:color w:val="auto"/>
              </w:rPr>
              <w:t>through Awareness Days, Staff Training and CPD.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680AE" w14:textId="77777777" w:rsidR="006057A2" w:rsidRPr="00E27862" w:rsidRDefault="006057A2" w:rsidP="006057A2">
            <w:pPr>
              <w:pStyle w:val="TableRowCentered"/>
              <w:jc w:val="left"/>
              <w:rPr>
                <w:rFonts w:cs="Arial"/>
                <w:color w:val="auto"/>
                <w:szCs w:val="24"/>
              </w:rPr>
            </w:pPr>
            <w:r w:rsidRPr="00E27862">
              <w:rPr>
                <w:rFonts w:cs="Arial"/>
                <w:color w:val="auto"/>
                <w:szCs w:val="24"/>
              </w:rPr>
              <w:t>There is extensive evidence associating childhood social and emotional skills with improved outcomes at school and in later life (e.g., improved academic performance, attitudes, behaviour and relationships with peers):</w:t>
            </w:r>
          </w:p>
          <w:p w14:paraId="128C073E" w14:textId="66A35B37" w:rsidR="00C535C2" w:rsidRPr="00E27862" w:rsidRDefault="006515BF" w:rsidP="006057A2">
            <w:pPr>
              <w:suppressAutoHyphens w:val="0"/>
              <w:autoSpaceDN/>
              <w:spacing w:before="60" w:after="60" w:line="240" w:lineRule="auto"/>
              <w:ind w:left="57" w:right="57"/>
              <w:rPr>
                <w:rFonts w:cs="Arial"/>
                <w:iCs/>
                <w:color w:val="auto"/>
              </w:rPr>
            </w:pPr>
            <w:hyperlink r:id="rId11" w:history="1">
              <w:r w:rsidR="006057A2" w:rsidRPr="000106A2">
                <w:rPr>
                  <w:color w:val="0070C0"/>
                  <w:u w:val="single"/>
                </w:rPr>
                <w:t>EEF_Social_and_Emotional_Learning.pdf(educationendowmentfoundation.org.uk)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8130F" w14:textId="77777777" w:rsidR="00C535C2" w:rsidRDefault="003D6734">
            <w:pPr>
              <w:pStyle w:val="TableRowCentered"/>
              <w:jc w:val="left"/>
              <w:rPr>
                <w:sz w:val="22"/>
              </w:rPr>
            </w:pPr>
            <w:r>
              <w:rPr>
                <w:sz w:val="22"/>
              </w:rPr>
              <w:t>4</w:t>
            </w:r>
          </w:p>
          <w:p w14:paraId="20FE9178" w14:textId="68A00EE6" w:rsidR="003D6734" w:rsidRDefault="003D6734">
            <w:pPr>
              <w:pStyle w:val="TableRowCentered"/>
              <w:jc w:val="left"/>
              <w:rPr>
                <w:sz w:val="22"/>
              </w:rPr>
            </w:pPr>
            <w:r>
              <w:rPr>
                <w:sz w:val="22"/>
              </w:rPr>
              <w:t>7</w:t>
            </w:r>
          </w:p>
        </w:tc>
      </w:tr>
      <w:tr w:rsidR="00102702" w14:paraId="20BA3DE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03523" w14:textId="24C0D993" w:rsidR="00102702" w:rsidRDefault="00102702" w:rsidP="003B70F8">
            <w:pPr>
              <w:spacing w:before="60" w:after="120" w:line="240" w:lineRule="auto"/>
              <w:ind w:left="28" w:right="57"/>
              <w:rPr>
                <w:color w:val="auto"/>
              </w:rPr>
            </w:pPr>
            <w:r>
              <w:rPr>
                <w:color w:val="auto"/>
              </w:rPr>
              <w:lastRenderedPageBreak/>
              <w:t xml:space="preserve">To </w:t>
            </w:r>
            <w:r w:rsidR="00BA69E3">
              <w:rPr>
                <w:color w:val="auto"/>
              </w:rPr>
              <w:t>deliver memorable experiences to each class, each half term to develop cultural capital.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33DC1" w14:textId="3562D640" w:rsidR="00102702" w:rsidRPr="00B77980" w:rsidRDefault="00B77980" w:rsidP="00B77980">
            <w:pPr>
              <w:pStyle w:val="TableRowCentered"/>
              <w:ind w:left="0"/>
              <w:jc w:val="left"/>
              <w:rPr>
                <w:rFonts w:cs="Arial"/>
                <w:color w:val="auto"/>
                <w:szCs w:val="24"/>
              </w:rPr>
            </w:pPr>
            <w:r>
              <w:rPr>
                <w:rFonts w:cs="Arial"/>
                <w:color w:val="auto"/>
                <w:szCs w:val="24"/>
              </w:rPr>
              <w:t xml:space="preserve">Pupil voice has demonstrated that </w:t>
            </w:r>
            <w:r w:rsidR="00EB7D9C">
              <w:rPr>
                <w:rFonts w:cs="Arial"/>
                <w:color w:val="auto"/>
                <w:szCs w:val="24"/>
              </w:rPr>
              <w:t xml:space="preserve">pupils cultural capital and aspirations for future career is developed through the implementation of memorable experiences. Children have a deeper understanding and appreciation of what is on offer to them in the wider world and what opportunities there are for future jbs.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4FE3D" w14:textId="77777777" w:rsidR="00102702" w:rsidRDefault="00102702">
            <w:pPr>
              <w:pStyle w:val="TableRowCentered"/>
              <w:jc w:val="left"/>
              <w:rPr>
                <w:sz w:val="22"/>
              </w:rPr>
            </w:pPr>
          </w:p>
        </w:tc>
      </w:tr>
      <w:tr w:rsidR="00D71BD6" w14:paraId="5642995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942CB" w14:textId="16DBE5FB" w:rsidR="00D71BD6" w:rsidRDefault="00D71BD6" w:rsidP="003B70F8">
            <w:pPr>
              <w:spacing w:before="60" w:after="120" w:line="240" w:lineRule="auto"/>
              <w:ind w:left="28" w:right="57"/>
              <w:rPr>
                <w:color w:val="auto"/>
              </w:rPr>
            </w:pPr>
            <w:r>
              <w:rPr>
                <w:color w:val="auto"/>
              </w:rPr>
              <w:t xml:space="preserve">To widen children’s knowledge of Further Education, </w:t>
            </w:r>
            <w:r w:rsidR="00C70286">
              <w:rPr>
                <w:color w:val="auto"/>
              </w:rPr>
              <w:t>and future career choices.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44EDF" w14:textId="540192E5" w:rsidR="00D71BD6" w:rsidRPr="00B7005C" w:rsidRDefault="00D71BD6" w:rsidP="006057A2">
            <w:pPr>
              <w:pStyle w:val="TableRowCentered"/>
              <w:jc w:val="left"/>
              <w:rPr>
                <w:rFonts w:cs="Arial"/>
                <w:color w:val="auto"/>
                <w:szCs w:val="24"/>
                <w:highlight w:val="yellow"/>
              </w:rPr>
            </w:pPr>
            <w:r>
              <w:rPr>
                <w:sz w:val="22"/>
              </w:rPr>
              <w:t>Aspiration Interventions EEF</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294C8" w14:textId="0D128EDA" w:rsidR="00D71BD6" w:rsidRDefault="00C70286">
            <w:pPr>
              <w:pStyle w:val="TableRowCentered"/>
              <w:jc w:val="left"/>
              <w:rPr>
                <w:sz w:val="22"/>
              </w:rPr>
            </w:pPr>
            <w:r>
              <w:rPr>
                <w:sz w:val="22"/>
              </w:rPr>
              <w:t>2</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715AD54B" w:rsidR="00E66558" w:rsidRPr="00D568B7" w:rsidRDefault="009D71E8">
      <w:r w:rsidRPr="00D568B7">
        <w:t xml:space="preserve">Budgeted cost: £ </w:t>
      </w:r>
      <w:r w:rsidR="00B673C1">
        <w:t>46</w:t>
      </w:r>
      <w:r w:rsidR="00D568B7" w:rsidRPr="00D568B7">
        <w:t>000</w:t>
      </w:r>
    </w:p>
    <w:tbl>
      <w:tblPr>
        <w:tblW w:w="5000" w:type="pct"/>
        <w:tblCellMar>
          <w:left w:w="10" w:type="dxa"/>
          <w:right w:w="10" w:type="dxa"/>
        </w:tblCellMar>
        <w:tblLook w:val="04A0" w:firstRow="1" w:lastRow="0" w:firstColumn="1" w:lastColumn="0" w:noHBand="0" w:noVBand="1"/>
      </w:tblPr>
      <w:tblGrid>
        <w:gridCol w:w="2525"/>
        <w:gridCol w:w="4627"/>
        <w:gridCol w:w="2334"/>
      </w:tblGrid>
      <w:tr w:rsidR="00E66558" w14:paraId="2A7D5528" w14:textId="77777777" w:rsidTr="00FE6345">
        <w:tc>
          <w:tcPr>
            <w:tcW w:w="252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6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33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rsidRPr="00C537FE" w14:paraId="2A7D552C" w14:textId="77777777" w:rsidTr="00FE6345">
        <w:tc>
          <w:tcPr>
            <w:tcW w:w="2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55003215" w:rsidR="00E66558" w:rsidRPr="00C537FE" w:rsidRDefault="00C537FE">
            <w:pPr>
              <w:pStyle w:val="TableRow"/>
            </w:pPr>
            <w:r>
              <w:rPr>
                <w:sz w:val="22"/>
                <w:szCs w:val="22"/>
              </w:rPr>
              <w:t>Purchase the ‘Talkabout’ interventions and train staff on delivering targeted interventions to develop oral language skills.</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B14D8" w14:textId="77777777" w:rsidR="00E4377A" w:rsidRPr="00E27862" w:rsidRDefault="00E4377A" w:rsidP="00E4377A">
            <w:pPr>
              <w:pStyle w:val="TableRowCentered"/>
              <w:jc w:val="left"/>
              <w:rPr>
                <w:rFonts w:cs="Arial"/>
                <w:color w:val="auto"/>
                <w:szCs w:val="24"/>
              </w:rPr>
            </w:pPr>
            <w:r w:rsidRPr="00E27862">
              <w:rPr>
                <w:rFonts w:cs="Arial"/>
                <w:color w:val="auto"/>
                <w:szCs w:val="24"/>
              </w:rPr>
              <w:t>Oral language interventions can have a positive impact on pupils’ language skills. Approaches that focus on speaking, listening and a combination of the two show positive impacts on attainment:</w:t>
            </w:r>
          </w:p>
          <w:p w14:paraId="2A7D552A" w14:textId="4DEB4E57" w:rsidR="00E66558" w:rsidRPr="00C537FE" w:rsidRDefault="006515BF" w:rsidP="00E4377A">
            <w:pPr>
              <w:pStyle w:val="TableRowCentered"/>
              <w:jc w:val="left"/>
              <w:rPr>
                <w:sz w:val="22"/>
              </w:rPr>
            </w:pPr>
            <w:hyperlink r:id="rId12" w:history="1">
              <w:r w:rsidR="00E4377A" w:rsidRPr="000106A2">
                <w:rPr>
                  <w:color w:val="0070C0"/>
                  <w:szCs w:val="24"/>
                  <w:u w:val="single"/>
                </w:rPr>
                <w:t>Oral language interventions | EEF (educationendowmentfoundation.org.uk)</w:t>
              </w:r>
            </w:hyperlink>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9C82890" w:rsidR="00E66558" w:rsidRPr="00C537FE" w:rsidRDefault="00E4377A">
            <w:pPr>
              <w:pStyle w:val="TableRowCentered"/>
              <w:jc w:val="left"/>
              <w:rPr>
                <w:sz w:val="22"/>
              </w:rPr>
            </w:pPr>
            <w:r>
              <w:rPr>
                <w:sz w:val="22"/>
              </w:rPr>
              <w:t>5</w:t>
            </w:r>
          </w:p>
        </w:tc>
      </w:tr>
      <w:tr w:rsidR="00C537FE" w14:paraId="1083B56C" w14:textId="77777777" w:rsidTr="00FE6345">
        <w:tc>
          <w:tcPr>
            <w:tcW w:w="2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1DACB" w14:textId="6A998682" w:rsidR="00C537FE" w:rsidRPr="00DC4E6C" w:rsidRDefault="00DC4E6C">
            <w:pPr>
              <w:pStyle w:val="TableRow"/>
              <w:rPr>
                <w:sz w:val="22"/>
                <w:szCs w:val="22"/>
              </w:rPr>
            </w:pPr>
            <w:r>
              <w:rPr>
                <w:sz w:val="22"/>
                <w:szCs w:val="22"/>
              </w:rPr>
              <w:t>Additional phonics support identified through careful tracking, for those disadvantaged children falling behind in small group phonics interventions.</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D5355" w14:textId="77777777" w:rsidR="00DC4E6C" w:rsidRPr="00E27862" w:rsidRDefault="00DC4E6C" w:rsidP="00DC4E6C">
            <w:pPr>
              <w:pStyle w:val="TableRowCentered"/>
              <w:jc w:val="left"/>
              <w:rPr>
                <w:rFonts w:cs="Arial"/>
                <w:color w:val="auto"/>
                <w:szCs w:val="24"/>
              </w:rPr>
            </w:pPr>
            <w:r w:rsidRPr="00E27862">
              <w:rPr>
                <w:rFonts w:cs="Arial"/>
                <w:color w:val="auto"/>
                <w:szCs w:val="24"/>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39E38573" w14:textId="1F72CC68" w:rsidR="00C537FE" w:rsidRDefault="006515BF" w:rsidP="00DC4E6C">
            <w:pPr>
              <w:pStyle w:val="TableRowCentered"/>
              <w:jc w:val="left"/>
              <w:rPr>
                <w:sz w:val="22"/>
              </w:rPr>
            </w:pPr>
            <w:hyperlink r:id="rId13" w:history="1">
              <w:r w:rsidR="00DC4E6C" w:rsidRPr="00094874">
                <w:rPr>
                  <w:color w:val="0070C0"/>
                  <w:szCs w:val="24"/>
                  <w:u w:val="single"/>
                </w:rPr>
                <w:t>Phonics | Toolkit Strand | Education Endowment Foundation | EEF</w:t>
              </w:r>
            </w:hyperlink>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8EE65" w14:textId="77777777" w:rsidR="00C537FE" w:rsidRDefault="00DC4E6C">
            <w:pPr>
              <w:pStyle w:val="TableRowCentered"/>
              <w:jc w:val="left"/>
              <w:rPr>
                <w:sz w:val="22"/>
              </w:rPr>
            </w:pPr>
            <w:r>
              <w:rPr>
                <w:sz w:val="22"/>
              </w:rPr>
              <w:t>1</w:t>
            </w:r>
          </w:p>
          <w:p w14:paraId="384EC15D" w14:textId="77777777" w:rsidR="00DC4E6C" w:rsidRDefault="00DC4E6C">
            <w:pPr>
              <w:pStyle w:val="TableRowCentered"/>
              <w:jc w:val="left"/>
              <w:rPr>
                <w:sz w:val="22"/>
              </w:rPr>
            </w:pPr>
            <w:r>
              <w:rPr>
                <w:sz w:val="22"/>
              </w:rPr>
              <w:t>3</w:t>
            </w:r>
          </w:p>
          <w:p w14:paraId="68834F3D" w14:textId="691C4BE5" w:rsidR="00DC4E6C" w:rsidRDefault="00F401E9">
            <w:pPr>
              <w:pStyle w:val="TableRowCentered"/>
              <w:jc w:val="left"/>
              <w:rPr>
                <w:sz w:val="22"/>
              </w:rPr>
            </w:pPr>
            <w:r>
              <w:rPr>
                <w:sz w:val="22"/>
              </w:rPr>
              <w:t>6</w:t>
            </w:r>
          </w:p>
        </w:tc>
      </w:tr>
      <w:tr w:rsidR="00F5127D" w14:paraId="4C04F5A2" w14:textId="77777777" w:rsidTr="00FE6345">
        <w:tc>
          <w:tcPr>
            <w:tcW w:w="2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F290C" w14:textId="1B4D394F" w:rsidR="00F5127D" w:rsidRDefault="00F5127D">
            <w:pPr>
              <w:pStyle w:val="TableRow"/>
              <w:rPr>
                <w:sz w:val="22"/>
                <w:szCs w:val="22"/>
              </w:rPr>
            </w:pPr>
            <w:r>
              <w:rPr>
                <w:sz w:val="22"/>
                <w:szCs w:val="22"/>
              </w:rPr>
              <w:t>LSAT to train all Teaching Assistants on additional to phonics such as phonological processing, rhyme and syllables</w:t>
            </w:r>
            <w:r w:rsidR="002C0B75">
              <w:rPr>
                <w:sz w:val="22"/>
                <w:szCs w:val="22"/>
              </w:rPr>
              <w:t xml:space="preserve"> to help support the lowest </w:t>
            </w:r>
            <w:r w:rsidR="002C0B75">
              <w:rPr>
                <w:sz w:val="22"/>
                <w:szCs w:val="22"/>
              </w:rPr>
              <w:lastRenderedPageBreak/>
              <w:t xml:space="preserve">attaining readers with closing the gap. </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F9109" w14:textId="77777777" w:rsidR="00F5127D" w:rsidRPr="00E27862" w:rsidRDefault="00F5127D" w:rsidP="00F5127D">
            <w:pPr>
              <w:pStyle w:val="TableRowCentered"/>
              <w:jc w:val="left"/>
              <w:rPr>
                <w:rFonts w:cs="Arial"/>
                <w:color w:val="auto"/>
                <w:szCs w:val="24"/>
              </w:rPr>
            </w:pPr>
            <w:r w:rsidRPr="00E27862">
              <w:rPr>
                <w:rFonts w:cs="Arial"/>
                <w:color w:val="auto"/>
                <w:szCs w:val="24"/>
              </w:rPr>
              <w:lastRenderedPageBreak/>
              <w:t>Phonics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07B683DC" w14:textId="3C8BCE47" w:rsidR="00F5127D" w:rsidRPr="00E27862" w:rsidRDefault="006515BF" w:rsidP="00F5127D">
            <w:pPr>
              <w:pStyle w:val="TableRowCentered"/>
              <w:jc w:val="left"/>
              <w:rPr>
                <w:rFonts w:cs="Arial"/>
                <w:color w:val="auto"/>
                <w:szCs w:val="24"/>
              </w:rPr>
            </w:pPr>
            <w:hyperlink r:id="rId14" w:history="1">
              <w:r w:rsidR="00F5127D" w:rsidRPr="00094874">
                <w:rPr>
                  <w:color w:val="0070C0"/>
                  <w:szCs w:val="24"/>
                  <w:u w:val="single"/>
                </w:rPr>
                <w:t>Phonics | Toolkit Strand | Education Endowment Foundation | EEF</w:t>
              </w:r>
            </w:hyperlink>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F352E" w14:textId="77777777" w:rsidR="00F5127D" w:rsidRDefault="002C0B75">
            <w:pPr>
              <w:pStyle w:val="TableRowCentered"/>
              <w:jc w:val="left"/>
              <w:rPr>
                <w:sz w:val="22"/>
              </w:rPr>
            </w:pPr>
            <w:r>
              <w:rPr>
                <w:sz w:val="22"/>
              </w:rPr>
              <w:lastRenderedPageBreak/>
              <w:t>1</w:t>
            </w:r>
          </w:p>
          <w:p w14:paraId="6E623ECF" w14:textId="77777777" w:rsidR="002C0B75" w:rsidRDefault="002C0B75">
            <w:pPr>
              <w:pStyle w:val="TableRowCentered"/>
              <w:jc w:val="left"/>
              <w:rPr>
                <w:sz w:val="22"/>
              </w:rPr>
            </w:pPr>
            <w:r>
              <w:rPr>
                <w:sz w:val="22"/>
              </w:rPr>
              <w:t>3</w:t>
            </w:r>
          </w:p>
          <w:p w14:paraId="7FED41DF" w14:textId="4A108448" w:rsidR="002C0B75" w:rsidRDefault="002C0B75">
            <w:pPr>
              <w:pStyle w:val="TableRowCentered"/>
              <w:jc w:val="left"/>
              <w:rPr>
                <w:sz w:val="22"/>
              </w:rPr>
            </w:pPr>
            <w:r>
              <w:rPr>
                <w:sz w:val="22"/>
              </w:rPr>
              <w:t>6</w:t>
            </w:r>
          </w:p>
        </w:tc>
      </w:tr>
      <w:tr w:rsidR="00C537FE" w14:paraId="59C8F7E0" w14:textId="77777777" w:rsidTr="00FE6345">
        <w:tc>
          <w:tcPr>
            <w:tcW w:w="2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07278" w14:textId="2E85DF0D" w:rsidR="00C537FE" w:rsidRDefault="00B37B58" w:rsidP="00B37B58">
            <w:pPr>
              <w:pStyle w:val="TableRow"/>
              <w:ind w:left="0"/>
              <w:rPr>
                <w:i/>
                <w:iCs/>
                <w:sz w:val="22"/>
                <w:szCs w:val="22"/>
              </w:rPr>
            </w:pPr>
            <w:r w:rsidRPr="00E27862">
              <w:rPr>
                <w:rFonts w:cs="Arial"/>
                <w:iCs/>
                <w:color w:val="auto"/>
                <w:lang w:val="en-US"/>
              </w:rPr>
              <w:t>Engaging with the National Tutoring Pro-gramme to provide a blend of tuition, mentoring and school-led tutoring for pupils whose education has been most impacted by the pandemic. A significant proportion of the pupils who receive tutoring will be disadvantaged, including those who are high attainers.</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6487E" w14:textId="77777777" w:rsidR="008E1D06" w:rsidRPr="00E27862" w:rsidRDefault="008E1D06" w:rsidP="008E1D06">
            <w:pPr>
              <w:suppressAutoHyphens w:val="0"/>
              <w:autoSpaceDN/>
              <w:spacing w:before="60" w:after="60" w:line="240" w:lineRule="auto"/>
              <w:ind w:left="57" w:right="57"/>
              <w:rPr>
                <w:color w:val="auto"/>
              </w:rPr>
            </w:pPr>
            <w:r w:rsidRPr="00E27862">
              <w:rPr>
                <w:color w:val="auto"/>
              </w:rPr>
              <w:t>Tuition targeted at specific needs and knowledge gaps can be an effective method to support low attaining pupils or those falling behind, both one-to-one:</w:t>
            </w:r>
          </w:p>
          <w:p w14:paraId="7D57C15E" w14:textId="77777777" w:rsidR="008E1D06" w:rsidRPr="00094874" w:rsidRDefault="006515BF" w:rsidP="008E1D06">
            <w:pPr>
              <w:suppressAutoHyphens w:val="0"/>
              <w:autoSpaceDN/>
              <w:spacing w:before="60" w:after="60" w:line="240" w:lineRule="auto"/>
              <w:ind w:left="57" w:right="57"/>
              <w:rPr>
                <w:color w:val="0070C0"/>
              </w:rPr>
            </w:pPr>
            <w:hyperlink r:id="rId15" w:history="1">
              <w:r w:rsidR="008E1D06" w:rsidRPr="00094874">
                <w:rPr>
                  <w:color w:val="0070C0"/>
                  <w:u w:val="single"/>
                </w:rPr>
                <w:t>One to one tuition | EEF (educationendowmentfoundation.org.uk)</w:t>
              </w:r>
            </w:hyperlink>
          </w:p>
          <w:p w14:paraId="2AA22AD0" w14:textId="77777777" w:rsidR="008E1D06" w:rsidRPr="00E27862" w:rsidRDefault="008E1D06" w:rsidP="008E1D06">
            <w:pPr>
              <w:suppressAutoHyphens w:val="0"/>
              <w:autoSpaceDN/>
              <w:spacing w:before="60" w:after="60" w:line="240" w:lineRule="auto"/>
              <w:ind w:left="57" w:right="57"/>
              <w:rPr>
                <w:color w:val="auto"/>
              </w:rPr>
            </w:pPr>
            <w:r w:rsidRPr="00E27862">
              <w:rPr>
                <w:color w:val="auto"/>
              </w:rPr>
              <w:t>And in small groups:</w:t>
            </w:r>
          </w:p>
          <w:p w14:paraId="750ED643" w14:textId="2A512430" w:rsidR="00C537FE" w:rsidRDefault="006515BF" w:rsidP="008E1D06">
            <w:pPr>
              <w:pStyle w:val="TableRowCentered"/>
              <w:jc w:val="left"/>
              <w:rPr>
                <w:sz w:val="22"/>
              </w:rPr>
            </w:pPr>
            <w:hyperlink r:id="rId16" w:history="1">
              <w:r w:rsidR="008E1D06" w:rsidRPr="009A7AA4">
                <w:rPr>
                  <w:color w:val="0070C0"/>
                  <w:u w:val="single"/>
                </w:rPr>
                <w:t>Small group tuition | Toolkit Strand | Education Endowment Foundation | EEF</w:t>
              </w:r>
            </w:hyperlink>
          </w:p>
          <w:p w14:paraId="6835C737" w14:textId="77777777" w:rsidR="008E1D06" w:rsidRDefault="008E1D06" w:rsidP="008E1D06">
            <w:pPr>
              <w:rPr>
                <w:sz w:val="22"/>
                <w:szCs w:val="20"/>
              </w:rPr>
            </w:pPr>
          </w:p>
          <w:p w14:paraId="5AD44BDF" w14:textId="614326D6" w:rsidR="008E1D06" w:rsidRPr="008E1D06" w:rsidRDefault="008E1D06" w:rsidP="008E1D06">
            <w:pPr>
              <w:jc w:val="center"/>
            </w:pP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DDD54" w14:textId="77777777" w:rsidR="00C537FE" w:rsidRDefault="008E1D06">
            <w:pPr>
              <w:pStyle w:val="TableRowCentered"/>
              <w:jc w:val="left"/>
              <w:rPr>
                <w:sz w:val="22"/>
              </w:rPr>
            </w:pPr>
            <w:r>
              <w:rPr>
                <w:sz w:val="22"/>
              </w:rPr>
              <w:t>1</w:t>
            </w:r>
          </w:p>
          <w:p w14:paraId="30AB8F18" w14:textId="77777777" w:rsidR="008E1D06" w:rsidRDefault="008E1D06">
            <w:pPr>
              <w:pStyle w:val="TableRowCentered"/>
              <w:jc w:val="left"/>
              <w:rPr>
                <w:sz w:val="22"/>
              </w:rPr>
            </w:pPr>
            <w:r>
              <w:rPr>
                <w:sz w:val="22"/>
              </w:rPr>
              <w:t>3</w:t>
            </w:r>
          </w:p>
          <w:p w14:paraId="1D6F8188" w14:textId="4B5C5812" w:rsidR="008E1D06" w:rsidRDefault="008E1D06">
            <w:pPr>
              <w:pStyle w:val="TableRowCentered"/>
              <w:jc w:val="left"/>
              <w:rPr>
                <w:sz w:val="22"/>
              </w:rPr>
            </w:pPr>
          </w:p>
        </w:tc>
      </w:tr>
      <w:tr w:rsidR="00FE6345" w14:paraId="51F6CCDE" w14:textId="77777777" w:rsidTr="00FE6345">
        <w:tc>
          <w:tcPr>
            <w:tcW w:w="2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703BA" w14:textId="6082B03B" w:rsidR="00FE6345" w:rsidRPr="004227AE" w:rsidRDefault="00FE6345" w:rsidP="00FE6345">
            <w:pPr>
              <w:pStyle w:val="TableRow"/>
              <w:rPr>
                <w:sz w:val="22"/>
                <w:szCs w:val="22"/>
              </w:rPr>
            </w:pPr>
            <w:r>
              <w:rPr>
                <w:sz w:val="22"/>
                <w:szCs w:val="22"/>
              </w:rPr>
              <w:t xml:space="preserve">Two TAs employed to deliver in class support for English and Maths targeting PPG pupils and SEND through the catch up funding. These will be rotated throughout the school over the academic year, offering all classes support.  </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3FC4B" w14:textId="3D4A96B1" w:rsidR="00FE6345" w:rsidRPr="00E27862" w:rsidRDefault="00FE6345" w:rsidP="00FE6345">
            <w:pPr>
              <w:suppressAutoHyphens w:val="0"/>
              <w:autoSpaceDN/>
              <w:spacing w:before="60" w:after="60" w:line="240" w:lineRule="auto"/>
              <w:ind w:left="57" w:right="57"/>
              <w:rPr>
                <w:color w:val="auto"/>
              </w:rPr>
            </w:pPr>
            <w:r>
              <w:rPr>
                <w:color w:val="auto"/>
              </w:rPr>
              <w:t>Support</w:t>
            </w:r>
            <w:r w:rsidRPr="00E27862">
              <w:rPr>
                <w:color w:val="auto"/>
              </w:rPr>
              <w:t xml:space="preserve"> targeted at specific needs and knowledge gaps can be an effective method to support low attaining pupils or those falling behind, both one-to-one:</w:t>
            </w:r>
          </w:p>
          <w:p w14:paraId="2F027D9F" w14:textId="77777777" w:rsidR="00FE6345" w:rsidRPr="00094874" w:rsidRDefault="006515BF" w:rsidP="00FE6345">
            <w:pPr>
              <w:suppressAutoHyphens w:val="0"/>
              <w:autoSpaceDN/>
              <w:spacing w:before="60" w:after="60" w:line="240" w:lineRule="auto"/>
              <w:ind w:left="57" w:right="57"/>
              <w:rPr>
                <w:color w:val="0070C0"/>
              </w:rPr>
            </w:pPr>
            <w:hyperlink r:id="rId17" w:history="1">
              <w:r w:rsidR="00FE6345" w:rsidRPr="00094874">
                <w:rPr>
                  <w:color w:val="0070C0"/>
                  <w:u w:val="single"/>
                </w:rPr>
                <w:t>One to one tuition | EEF (educationendowmentfoundation.org.uk)</w:t>
              </w:r>
            </w:hyperlink>
          </w:p>
          <w:p w14:paraId="0D9A1555" w14:textId="77777777" w:rsidR="00FE6345" w:rsidRPr="00E27862" w:rsidRDefault="00FE6345" w:rsidP="00FE6345">
            <w:pPr>
              <w:suppressAutoHyphens w:val="0"/>
              <w:autoSpaceDN/>
              <w:spacing w:before="60" w:after="60" w:line="240" w:lineRule="auto"/>
              <w:ind w:left="57" w:right="57"/>
              <w:rPr>
                <w:color w:val="auto"/>
              </w:rPr>
            </w:pPr>
            <w:r w:rsidRPr="00E27862">
              <w:rPr>
                <w:color w:val="auto"/>
              </w:rPr>
              <w:t>And in small groups:</w:t>
            </w:r>
          </w:p>
          <w:p w14:paraId="6B3105D0" w14:textId="77777777" w:rsidR="00FE6345" w:rsidRDefault="006515BF" w:rsidP="00FE6345">
            <w:pPr>
              <w:pStyle w:val="TableRowCentered"/>
              <w:jc w:val="left"/>
              <w:rPr>
                <w:sz w:val="22"/>
              </w:rPr>
            </w:pPr>
            <w:hyperlink r:id="rId18" w:history="1">
              <w:r w:rsidR="00FE6345" w:rsidRPr="009A7AA4">
                <w:rPr>
                  <w:color w:val="0070C0"/>
                  <w:u w:val="single"/>
                </w:rPr>
                <w:t>Small group tuition | Toolkit Strand | Education Endowment Foundation | EEF</w:t>
              </w:r>
            </w:hyperlink>
          </w:p>
          <w:p w14:paraId="52B8F5A5" w14:textId="77777777" w:rsidR="00FE6345" w:rsidRDefault="00FE6345" w:rsidP="00FE6345">
            <w:pPr>
              <w:rPr>
                <w:sz w:val="22"/>
                <w:szCs w:val="20"/>
              </w:rPr>
            </w:pPr>
          </w:p>
          <w:p w14:paraId="7796C3BE" w14:textId="77777777" w:rsidR="00FE6345" w:rsidRDefault="00FE6345" w:rsidP="00FE6345">
            <w:pPr>
              <w:pStyle w:val="TableRowCentered"/>
              <w:jc w:val="left"/>
              <w:rPr>
                <w:sz w:val="22"/>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28FF9" w14:textId="77777777" w:rsidR="00FE6345" w:rsidRDefault="00FE6345" w:rsidP="00FE6345">
            <w:pPr>
              <w:pStyle w:val="TableRowCentered"/>
              <w:jc w:val="left"/>
              <w:rPr>
                <w:sz w:val="22"/>
              </w:rPr>
            </w:pPr>
            <w:r w:rsidRPr="00E0051D">
              <w:rPr>
                <w:sz w:val="22"/>
              </w:rPr>
              <w:t>1</w:t>
            </w:r>
          </w:p>
          <w:p w14:paraId="5F787621" w14:textId="7DE54D3C" w:rsidR="00E0051D" w:rsidRPr="00E0051D" w:rsidRDefault="00E0051D" w:rsidP="00E0051D">
            <w:pPr>
              <w:pStyle w:val="TableRowCentered"/>
              <w:jc w:val="left"/>
              <w:rPr>
                <w:sz w:val="22"/>
              </w:rPr>
            </w:pPr>
            <w:r>
              <w:rPr>
                <w:sz w:val="22"/>
              </w:rPr>
              <w:t>2</w:t>
            </w:r>
          </w:p>
          <w:p w14:paraId="5C6A1A86" w14:textId="77777777" w:rsidR="00FE6345" w:rsidRDefault="00FE6345" w:rsidP="00FE6345">
            <w:pPr>
              <w:pStyle w:val="TableRowCentered"/>
              <w:jc w:val="left"/>
              <w:rPr>
                <w:sz w:val="22"/>
              </w:rPr>
            </w:pPr>
            <w:r w:rsidRPr="00E0051D">
              <w:rPr>
                <w:sz w:val="22"/>
              </w:rPr>
              <w:t>3</w:t>
            </w:r>
          </w:p>
          <w:p w14:paraId="4933A8AE" w14:textId="5DDB035C" w:rsidR="00E0051D" w:rsidRDefault="00E0051D" w:rsidP="00FE6345">
            <w:pPr>
              <w:pStyle w:val="TableRowCentered"/>
              <w:jc w:val="left"/>
              <w:rPr>
                <w:sz w:val="22"/>
              </w:rPr>
            </w:pPr>
            <w:r>
              <w:rPr>
                <w:sz w:val="22"/>
              </w:rPr>
              <w:t>4</w:t>
            </w:r>
          </w:p>
          <w:p w14:paraId="6DE053AC" w14:textId="77777777" w:rsidR="00FE6345" w:rsidRDefault="00FE6345" w:rsidP="00FE6345">
            <w:pPr>
              <w:pStyle w:val="TableRowCentered"/>
              <w:jc w:val="left"/>
              <w:rPr>
                <w:sz w:val="22"/>
              </w:rPr>
            </w:pPr>
          </w:p>
        </w:tc>
      </w:tr>
      <w:tr w:rsidR="00FE6345" w14:paraId="2A7D5530" w14:textId="77777777" w:rsidTr="00FE6345">
        <w:tc>
          <w:tcPr>
            <w:tcW w:w="2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18742EE6" w:rsidR="00FE6345" w:rsidRPr="00602F8E" w:rsidRDefault="00F97D94" w:rsidP="00FE6345">
            <w:pPr>
              <w:pStyle w:val="TableRow"/>
              <w:rPr>
                <w:iCs/>
                <w:sz w:val="22"/>
              </w:rPr>
            </w:pPr>
            <w:r>
              <w:rPr>
                <w:iCs/>
                <w:sz w:val="22"/>
              </w:rPr>
              <w:t xml:space="preserve">Non-clinical </w:t>
            </w:r>
            <w:r w:rsidR="00602F8E">
              <w:rPr>
                <w:iCs/>
                <w:sz w:val="22"/>
              </w:rPr>
              <w:t>CBT</w:t>
            </w:r>
            <w:r w:rsidR="00E0051D">
              <w:rPr>
                <w:iCs/>
                <w:sz w:val="22"/>
              </w:rPr>
              <w:t xml:space="preserve"> used </w:t>
            </w:r>
            <w:r w:rsidR="001B1607">
              <w:rPr>
                <w:iCs/>
                <w:sz w:val="22"/>
              </w:rPr>
              <w:t>to support children’s wellbeing and mental health on a 1:1 basis</w:t>
            </w:r>
            <w:r w:rsidR="00D67607">
              <w:rPr>
                <w:iCs/>
                <w:sz w:val="22"/>
              </w:rPr>
              <w:t>.</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60EDA9F9" w:rsidR="00FE6345" w:rsidRDefault="00814178" w:rsidP="00FE6345">
            <w:pPr>
              <w:pStyle w:val="TableRowCentered"/>
              <w:jc w:val="left"/>
              <w:rPr>
                <w:sz w:val="22"/>
              </w:rPr>
            </w:pPr>
            <w:r>
              <w:rPr>
                <w:sz w:val="22"/>
              </w:rPr>
              <w:t xml:space="preserve">Future in Mind training from Sian Deane and Tina </w:t>
            </w:r>
            <w:r w:rsidR="00E36668">
              <w:rPr>
                <w:sz w:val="22"/>
              </w:rPr>
              <w:t xml:space="preserve">Rae (Lead Clinical Child Psychologist) – evidence based. </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7777777" w:rsidR="00FE6345" w:rsidRDefault="00FE6345" w:rsidP="00FE6345">
            <w:pPr>
              <w:pStyle w:val="TableRowCentered"/>
              <w:jc w:val="left"/>
              <w:rPr>
                <w:sz w:val="22"/>
              </w:rPr>
            </w:pP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09F3A414" w:rsidR="00E66558" w:rsidRDefault="009D71E8">
      <w:pPr>
        <w:spacing w:before="240" w:after="120"/>
      </w:pPr>
      <w:r w:rsidRPr="00B0510A">
        <w:t>Budgeted cost: £</w:t>
      </w:r>
      <w:r w:rsidR="00B0510A" w:rsidRPr="00B0510A">
        <w:t>30000</w:t>
      </w:r>
    </w:p>
    <w:tbl>
      <w:tblPr>
        <w:tblW w:w="5000" w:type="pct"/>
        <w:tblCellMar>
          <w:left w:w="10" w:type="dxa"/>
          <w:right w:w="10" w:type="dxa"/>
        </w:tblCellMar>
        <w:tblLook w:val="04A0" w:firstRow="1" w:lastRow="0" w:firstColumn="1" w:lastColumn="0" w:noHBand="0" w:noVBand="1"/>
      </w:tblPr>
      <w:tblGrid>
        <w:gridCol w:w="2481"/>
        <w:gridCol w:w="4627"/>
        <w:gridCol w:w="2378"/>
      </w:tblGrid>
      <w:tr w:rsidR="00E66558" w14:paraId="2A7D5537" w14:textId="77777777" w:rsidTr="004A24B1">
        <w:tc>
          <w:tcPr>
            <w:tcW w:w="248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6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37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4A24B1">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7F37B214" w:rsidR="00E66558" w:rsidRPr="002126B8" w:rsidRDefault="002126B8">
            <w:pPr>
              <w:pStyle w:val="TableRow"/>
            </w:pPr>
            <w:r>
              <w:rPr>
                <w:sz w:val="22"/>
                <w:szCs w:val="22"/>
              </w:rPr>
              <w:t xml:space="preserve">Whole school focus on </w:t>
            </w:r>
            <w:r w:rsidR="000F32F5">
              <w:rPr>
                <w:sz w:val="22"/>
                <w:szCs w:val="22"/>
              </w:rPr>
              <w:t>attendance</w:t>
            </w:r>
            <w:r w:rsidR="00D64647">
              <w:rPr>
                <w:sz w:val="22"/>
                <w:szCs w:val="22"/>
              </w:rPr>
              <w:t xml:space="preserve"> – tracking with </w:t>
            </w:r>
            <w:r w:rsidR="00B16B6C">
              <w:rPr>
                <w:sz w:val="22"/>
                <w:szCs w:val="22"/>
              </w:rPr>
              <w:t xml:space="preserve">the pastoral lead and </w:t>
            </w:r>
            <w:r w:rsidR="00B16B6C">
              <w:rPr>
                <w:sz w:val="22"/>
                <w:szCs w:val="22"/>
              </w:rPr>
              <w:lastRenderedPageBreak/>
              <w:t xml:space="preserve">nominated school attendance officer. </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1714F218" w:rsidR="00E66558" w:rsidRDefault="00544544" w:rsidP="00CB559A">
            <w:pPr>
              <w:pStyle w:val="TableRowCentered"/>
              <w:jc w:val="left"/>
              <w:rPr>
                <w:sz w:val="22"/>
              </w:rPr>
            </w:pPr>
            <w:r>
              <w:rPr>
                <w:sz w:val="22"/>
              </w:rPr>
              <w:lastRenderedPageBreak/>
              <w:t xml:space="preserve">The attendance of our children will need to be targeted before the interventions in school will make the greatest impact. </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29C46300" w:rsidR="00E66558" w:rsidRDefault="00D71BD6">
            <w:pPr>
              <w:pStyle w:val="TableRowCentered"/>
              <w:jc w:val="left"/>
              <w:rPr>
                <w:sz w:val="22"/>
              </w:rPr>
            </w:pPr>
            <w:r>
              <w:rPr>
                <w:sz w:val="22"/>
              </w:rPr>
              <w:t>7</w:t>
            </w:r>
          </w:p>
        </w:tc>
      </w:tr>
      <w:tr w:rsidR="004A24B1" w14:paraId="2A7D553F" w14:textId="77777777" w:rsidTr="004A24B1">
        <w:tc>
          <w:tcPr>
            <w:tcW w:w="2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B03DD" w14:textId="77777777" w:rsidR="004A24B1" w:rsidRPr="00E27862" w:rsidRDefault="004A24B1" w:rsidP="004A24B1">
            <w:pPr>
              <w:suppressAutoHyphens w:val="0"/>
              <w:autoSpaceDN/>
              <w:spacing w:before="60" w:after="60" w:line="240" w:lineRule="auto"/>
              <w:ind w:left="29" w:right="57"/>
              <w:rPr>
                <w:iCs/>
                <w:color w:val="auto"/>
                <w:szCs w:val="28"/>
                <w:lang w:val="en-US"/>
              </w:rPr>
            </w:pPr>
            <w:r w:rsidRPr="00E27862">
              <w:rPr>
                <w:iCs/>
                <w:color w:val="auto"/>
                <w:szCs w:val="28"/>
                <w:lang w:val="en-US"/>
              </w:rPr>
              <w:t>Contingency fund for acute issues.</w:t>
            </w:r>
          </w:p>
          <w:p w14:paraId="2A7D553C" w14:textId="77777777" w:rsidR="004A24B1" w:rsidRDefault="004A24B1" w:rsidP="004A24B1">
            <w:pPr>
              <w:pStyle w:val="TableRow"/>
              <w:rPr>
                <w:i/>
                <w:sz w:val="22"/>
              </w:rPr>
            </w:pP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16B0180B" w:rsidR="004A24B1" w:rsidRDefault="004A24B1" w:rsidP="004A24B1">
            <w:pPr>
              <w:pStyle w:val="TableRowCentered"/>
              <w:jc w:val="left"/>
              <w:rPr>
                <w:sz w:val="22"/>
              </w:rPr>
            </w:pPr>
            <w:r w:rsidRPr="00E27862">
              <w:rPr>
                <w:color w:val="auto"/>
                <w:szCs w:val="22"/>
              </w:rPr>
              <w:t>Based on our experiences and those of similar schools to ours, we have identified a need to set a small amount of funding aside to respond quickly to needs that have not yet been identified.</w:t>
            </w:r>
          </w:p>
        </w:tc>
        <w:tc>
          <w:tcPr>
            <w:tcW w:w="2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65916DF2" w:rsidR="004A24B1" w:rsidRDefault="004A24B1" w:rsidP="004A24B1">
            <w:pPr>
              <w:pStyle w:val="TableRowCentered"/>
              <w:jc w:val="left"/>
              <w:rPr>
                <w:sz w:val="22"/>
              </w:rPr>
            </w:pPr>
            <w:r>
              <w:rPr>
                <w:sz w:val="22"/>
              </w:rPr>
              <w:t>All</w:t>
            </w:r>
          </w:p>
        </w:tc>
      </w:tr>
    </w:tbl>
    <w:p w14:paraId="2A7D5540" w14:textId="77777777" w:rsidR="00E66558" w:rsidRDefault="00E66558">
      <w:pPr>
        <w:spacing w:before="240" w:after="0"/>
        <w:rPr>
          <w:b/>
          <w:bCs/>
          <w:color w:val="104F75"/>
          <w:sz w:val="28"/>
          <w:szCs w:val="28"/>
        </w:rPr>
      </w:pPr>
    </w:p>
    <w:p w14:paraId="2A7D5541" w14:textId="695C02A2" w:rsidR="00E66558" w:rsidRDefault="009D71E8" w:rsidP="00120AB1">
      <w:r w:rsidRPr="00EB7D9C">
        <w:rPr>
          <w:b/>
          <w:bCs/>
          <w:color w:val="104F75"/>
          <w:sz w:val="28"/>
          <w:szCs w:val="28"/>
        </w:rPr>
        <w:t xml:space="preserve">Total budgeted cost: </w:t>
      </w:r>
      <w:r w:rsidR="00EB7D9C" w:rsidRPr="00EB7D9C">
        <w:t>£119900.00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77777777" w:rsidR="00E66558" w:rsidRDefault="009D71E8">
            <w:pPr>
              <w:spacing w:before="120"/>
            </w:pPr>
            <w:r>
              <w:rPr>
                <w:i/>
              </w:rPr>
              <w:t xml:space="preserve">Due to COVID-19, performance measures have not been published for 2020 to 2021, and 2020 to 2021 results will not be used to hold schools to account. </w:t>
            </w:r>
            <w:r>
              <w:rPr>
                <w:i/>
                <w:lang w:eastAsia="en-US"/>
              </w:rPr>
              <w:t>Given this, please point to any other pupil evaluations undertaken during the 2020 to 2021 academic year, for example, standardised teacher administered tests or diagnostic assessments such as rubrics or scales.</w:t>
            </w:r>
          </w:p>
          <w:p w14:paraId="2A7D5546" w14:textId="77777777" w:rsidR="00E66558" w:rsidRDefault="009D71E8">
            <w:r>
              <w:rPr>
                <w:i/>
                <w:lang w:eastAsia="en-US"/>
              </w:rPr>
              <w:t xml:space="preserve">If last year marked the end of a previous pupil premium strategy plan, what is your assessment of how successfully the intended outcomes of that plan were met? </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7"/>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headerReference w:type="default" r:id="rId19"/>
      <w:footerReference w:type="default" r:id="rId2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D8FC5" w14:textId="77777777" w:rsidR="00C10485" w:rsidRDefault="00C10485">
      <w:pPr>
        <w:spacing w:after="0" w:line="240" w:lineRule="auto"/>
      </w:pPr>
      <w:r>
        <w:separator/>
      </w:r>
    </w:p>
  </w:endnote>
  <w:endnote w:type="continuationSeparator" w:id="0">
    <w:p w14:paraId="06DDADC7" w14:textId="77777777" w:rsidR="00C10485" w:rsidRDefault="00C10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0EE0E" w14:textId="77777777" w:rsidR="00C10485" w:rsidRDefault="00C10485">
      <w:pPr>
        <w:spacing w:after="0" w:line="240" w:lineRule="auto"/>
      </w:pPr>
      <w:r>
        <w:separator/>
      </w:r>
    </w:p>
  </w:footnote>
  <w:footnote w:type="continuationSeparator" w:id="0">
    <w:p w14:paraId="287C1CAE" w14:textId="77777777" w:rsidR="00C10485" w:rsidRDefault="00C10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6515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749B9"/>
    <w:multiLevelType w:val="hybridMultilevel"/>
    <w:tmpl w:val="F70C320A"/>
    <w:lvl w:ilvl="0" w:tplc="B4C451D6">
      <w:start w:val="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1"/>
  </w:num>
  <w:num w:numId="6">
    <w:abstractNumId w:val="7"/>
  </w:num>
  <w:num w:numId="7">
    <w:abstractNumId w:val="10"/>
  </w:num>
  <w:num w:numId="8">
    <w:abstractNumId w:val="14"/>
  </w:num>
  <w:num w:numId="9">
    <w:abstractNumId w:val="12"/>
  </w:num>
  <w:num w:numId="10">
    <w:abstractNumId w:val="11"/>
  </w:num>
  <w:num w:numId="11">
    <w:abstractNumId w:val="3"/>
  </w:num>
  <w:num w:numId="12">
    <w:abstractNumId w:val="13"/>
  </w:num>
  <w:num w:numId="13">
    <w:abstractNumId w:val="9"/>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6B64"/>
    <w:rsid w:val="00040C00"/>
    <w:rsid w:val="00066B73"/>
    <w:rsid w:val="00081B0E"/>
    <w:rsid w:val="0008404A"/>
    <w:rsid w:val="00094ED3"/>
    <w:rsid w:val="000A0C42"/>
    <w:rsid w:val="000E060F"/>
    <w:rsid w:val="000E3A88"/>
    <w:rsid w:val="000F32F5"/>
    <w:rsid w:val="00102702"/>
    <w:rsid w:val="00120AB1"/>
    <w:rsid w:val="001B13A8"/>
    <w:rsid w:val="001B1607"/>
    <w:rsid w:val="001B68DF"/>
    <w:rsid w:val="001E22CF"/>
    <w:rsid w:val="001E3214"/>
    <w:rsid w:val="002126B8"/>
    <w:rsid w:val="00225BC0"/>
    <w:rsid w:val="00240B61"/>
    <w:rsid w:val="00243BAC"/>
    <w:rsid w:val="00275BD5"/>
    <w:rsid w:val="002A1254"/>
    <w:rsid w:val="002A4EB3"/>
    <w:rsid w:val="002B413B"/>
    <w:rsid w:val="002C0B75"/>
    <w:rsid w:val="002D4665"/>
    <w:rsid w:val="00302DFB"/>
    <w:rsid w:val="00327D71"/>
    <w:rsid w:val="00351269"/>
    <w:rsid w:val="00366EAB"/>
    <w:rsid w:val="0037545F"/>
    <w:rsid w:val="0039714C"/>
    <w:rsid w:val="003B70F8"/>
    <w:rsid w:val="003D033A"/>
    <w:rsid w:val="003D6734"/>
    <w:rsid w:val="004004C4"/>
    <w:rsid w:val="00402401"/>
    <w:rsid w:val="004044AA"/>
    <w:rsid w:val="004227AE"/>
    <w:rsid w:val="00450EFE"/>
    <w:rsid w:val="00455BFE"/>
    <w:rsid w:val="0046583B"/>
    <w:rsid w:val="004A24B1"/>
    <w:rsid w:val="004B354C"/>
    <w:rsid w:val="005018B5"/>
    <w:rsid w:val="005171B7"/>
    <w:rsid w:val="00534EAE"/>
    <w:rsid w:val="00544544"/>
    <w:rsid w:val="00544A13"/>
    <w:rsid w:val="00561459"/>
    <w:rsid w:val="00563A51"/>
    <w:rsid w:val="00602F8E"/>
    <w:rsid w:val="006057A2"/>
    <w:rsid w:val="00606A34"/>
    <w:rsid w:val="00613C7F"/>
    <w:rsid w:val="006515BF"/>
    <w:rsid w:val="00653F32"/>
    <w:rsid w:val="00666E73"/>
    <w:rsid w:val="00694CDE"/>
    <w:rsid w:val="006A02B8"/>
    <w:rsid w:val="006B2B50"/>
    <w:rsid w:val="006B35D5"/>
    <w:rsid w:val="006C3B36"/>
    <w:rsid w:val="006E7FB1"/>
    <w:rsid w:val="006F490F"/>
    <w:rsid w:val="006F6095"/>
    <w:rsid w:val="00711895"/>
    <w:rsid w:val="0071378C"/>
    <w:rsid w:val="00713A23"/>
    <w:rsid w:val="0072312C"/>
    <w:rsid w:val="00741B9E"/>
    <w:rsid w:val="0076225B"/>
    <w:rsid w:val="007C2F04"/>
    <w:rsid w:val="00805585"/>
    <w:rsid w:val="00814178"/>
    <w:rsid w:val="00830EEC"/>
    <w:rsid w:val="0084665B"/>
    <w:rsid w:val="00852350"/>
    <w:rsid w:val="00857809"/>
    <w:rsid w:val="00880540"/>
    <w:rsid w:val="008B2827"/>
    <w:rsid w:val="008B49DE"/>
    <w:rsid w:val="008E1D06"/>
    <w:rsid w:val="008E2757"/>
    <w:rsid w:val="008E337E"/>
    <w:rsid w:val="00905E28"/>
    <w:rsid w:val="00912A42"/>
    <w:rsid w:val="009D71E8"/>
    <w:rsid w:val="00A42AB6"/>
    <w:rsid w:val="00A44BFD"/>
    <w:rsid w:val="00A562B2"/>
    <w:rsid w:val="00A9290D"/>
    <w:rsid w:val="00AA4201"/>
    <w:rsid w:val="00AA5B32"/>
    <w:rsid w:val="00AC72AB"/>
    <w:rsid w:val="00AC75DF"/>
    <w:rsid w:val="00AD11E9"/>
    <w:rsid w:val="00AD4FA8"/>
    <w:rsid w:val="00AD5BD7"/>
    <w:rsid w:val="00B0510A"/>
    <w:rsid w:val="00B16B6C"/>
    <w:rsid w:val="00B37B58"/>
    <w:rsid w:val="00B56531"/>
    <w:rsid w:val="00B62DF0"/>
    <w:rsid w:val="00B673C1"/>
    <w:rsid w:val="00B7005C"/>
    <w:rsid w:val="00B77980"/>
    <w:rsid w:val="00B90E7E"/>
    <w:rsid w:val="00BA69E3"/>
    <w:rsid w:val="00BB0416"/>
    <w:rsid w:val="00BB4F01"/>
    <w:rsid w:val="00BC6B83"/>
    <w:rsid w:val="00BF458A"/>
    <w:rsid w:val="00C00AFB"/>
    <w:rsid w:val="00C10485"/>
    <w:rsid w:val="00C1176C"/>
    <w:rsid w:val="00C535C2"/>
    <w:rsid w:val="00C537FE"/>
    <w:rsid w:val="00C5394D"/>
    <w:rsid w:val="00C70286"/>
    <w:rsid w:val="00C76E03"/>
    <w:rsid w:val="00CB559A"/>
    <w:rsid w:val="00CD6D37"/>
    <w:rsid w:val="00CF4B7C"/>
    <w:rsid w:val="00D33FE5"/>
    <w:rsid w:val="00D51818"/>
    <w:rsid w:val="00D568B7"/>
    <w:rsid w:val="00D64647"/>
    <w:rsid w:val="00D67607"/>
    <w:rsid w:val="00D71BD6"/>
    <w:rsid w:val="00DB2CF4"/>
    <w:rsid w:val="00DC4E6C"/>
    <w:rsid w:val="00DC7D24"/>
    <w:rsid w:val="00DD6DE2"/>
    <w:rsid w:val="00DE765D"/>
    <w:rsid w:val="00E0051D"/>
    <w:rsid w:val="00E051CC"/>
    <w:rsid w:val="00E2248E"/>
    <w:rsid w:val="00E306E7"/>
    <w:rsid w:val="00E36668"/>
    <w:rsid w:val="00E370BA"/>
    <w:rsid w:val="00E4377A"/>
    <w:rsid w:val="00E66558"/>
    <w:rsid w:val="00E75903"/>
    <w:rsid w:val="00EB7D9C"/>
    <w:rsid w:val="00F05468"/>
    <w:rsid w:val="00F055B9"/>
    <w:rsid w:val="00F15D03"/>
    <w:rsid w:val="00F34519"/>
    <w:rsid w:val="00F34DDC"/>
    <w:rsid w:val="00F401E9"/>
    <w:rsid w:val="00F5127D"/>
    <w:rsid w:val="00F6676A"/>
    <w:rsid w:val="00F66DF4"/>
    <w:rsid w:val="00F81DE6"/>
    <w:rsid w:val="00F97D94"/>
    <w:rsid w:val="00FE6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DB2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endowmentfoundation.org.uk/evidence-summaries/teaching-learning-toolkit/phonics/" TargetMode="External"/><Relationship Id="rId18" Type="http://schemas.openxmlformats.org/officeDocument/2006/relationships/hyperlink" Target="https://educationendowmentfoundation.org.uk/evidence-summaries/teaching-learning-toolkit/small-group-tuitio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educationendowmentfoundation.org.uk/education-evidence/teaching-learning-toolkit/oral-language-interventions" TargetMode="External"/><Relationship Id="rId17" Type="http://schemas.openxmlformats.org/officeDocument/2006/relationships/hyperlink" Target="https://educationendowmentfoundation.org.uk/education-evidence/teaching-learning-toolkit/one-to-one-tuition" TargetMode="External"/><Relationship Id="rId2" Type="http://schemas.openxmlformats.org/officeDocument/2006/relationships/customXml" Target="../customXml/item2.xml"/><Relationship Id="rId16" Type="http://schemas.openxmlformats.org/officeDocument/2006/relationships/hyperlink" Target="https://educationendowmentfoundation.org.uk/evidence-summaries/teaching-learning-toolkit/small-group-tui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public/files/Publications/SEL/EEF_Social_and_Emotional_Learning.pdf" TargetMode="External"/><Relationship Id="rId5" Type="http://schemas.openxmlformats.org/officeDocument/2006/relationships/styles" Target="styles.xml"/><Relationship Id="rId15" Type="http://schemas.openxmlformats.org/officeDocument/2006/relationships/hyperlink" Target="https://educationendowmentfoundation.org.uk/education-evidence/teaching-learning-toolkit/one-to-one-tuition" TargetMode="External"/><Relationship Id="rId10" Type="http://schemas.openxmlformats.org/officeDocument/2006/relationships/hyperlink" Target="https://assets.publishing.service.gov.uk/government/uploads/system/uploads/attachment_data/file/897806/Maths_guidance_KS_1_and_2.pdf"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evidence-summaries/teaching-learning-toolkit/phonic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6CDCD123110943A8C145BF711BC26E" ma:contentTypeVersion="" ma:contentTypeDescription="Create a new document." ma:contentTypeScope="" ma:versionID="57dae5c6343700a44bb75baab134953a">
  <xsd:schema xmlns:xsd="http://www.w3.org/2001/XMLSchema" xmlns:xs="http://www.w3.org/2001/XMLSchema" xmlns:p="http://schemas.microsoft.com/office/2006/metadata/properties" xmlns:ns2="07450488-5eec-4160-8bb9-f4adfc39963a" xmlns:ns3="1c7d9a60-9be0-44eb-8679-1d168711d289" targetNamespace="http://schemas.microsoft.com/office/2006/metadata/properties" ma:root="true" ma:fieldsID="4b15388e3eceff410b5b982d4a4e055c" ns2:_="" ns3:_="">
    <xsd:import namespace="07450488-5eec-4160-8bb9-f4adfc39963a"/>
    <xsd:import namespace="1c7d9a60-9be0-44eb-8679-1d168711d2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450488-5eec-4160-8bb9-f4adfc3996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7d9a60-9be0-44eb-8679-1d168711d2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c7d9a60-9be0-44eb-8679-1d168711d289">
      <UserInfo>
        <DisplayName>Deane, Sian</DisplayName>
        <AccountId>433</AccountId>
        <AccountType/>
      </UserInfo>
      <UserInfo>
        <DisplayName>Smart2, Karen</DisplayName>
        <AccountId>187</AccountId>
        <AccountType/>
      </UserInfo>
      <UserInfo>
        <DisplayName>Cartwright, Tracey</DisplayName>
        <AccountId>184</AccountId>
        <AccountType/>
      </UserInfo>
      <UserInfo>
        <DisplayName>Hopkins, Alison</DisplayName>
        <AccountId>206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566782-E48E-4D6D-A200-9C32BCAA1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450488-5eec-4160-8bb9-f4adfc39963a"/>
    <ds:schemaRef ds:uri="1c7d9a60-9be0-44eb-8679-1d168711d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9DB5E9-718D-4BD0-980B-964A7E7EA782}">
  <ds:schemaRefs>
    <ds:schemaRef ds:uri="http://schemas.microsoft.com/office/2006/metadata/properties"/>
    <ds:schemaRef ds:uri="http://schemas.microsoft.com/office/infopath/2007/PartnerControls"/>
    <ds:schemaRef ds:uri="1c7d9a60-9be0-44eb-8679-1d168711d289"/>
  </ds:schemaRefs>
</ds:datastoreItem>
</file>

<file path=customXml/itemProps3.xml><?xml version="1.0" encoding="utf-8"?>
<ds:datastoreItem xmlns:ds="http://schemas.openxmlformats.org/officeDocument/2006/customXml" ds:itemID="{8E5C48D8-DE25-46D8-BB8C-D37EC10DB5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2487</Words>
  <Characters>14179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Hopkins, Alison</cp:lastModifiedBy>
  <cp:revision>3</cp:revision>
  <cp:lastPrinted>2014-09-17T13:26:00Z</cp:lastPrinted>
  <dcterms:created xsi:type="dcterms:W3CDTF">2022-05-20T13:02:00Z</dcterms:created>
  <dcterms:modified xsi:type="dcterms:W3CDTF">2022-05-20T13:02:00Z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0x010100976CDCD123110943A8C145BF711BC26E</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